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02472" w14:textId="77777777" w:rsidR="00CB28E0" w:rsidRPr="00945999" w:rsidRDefault="00CB28E0" w:rsidP="00945999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7E625098" w14:textId="739C4578" w:rsidR="008F0B8D" w:rsidRPr="00945999" w:rsidRDefault="008F0B8D" w:rsidP="00945999">
      <w:pPr>
        <w:contextualSpacing/>
        <w:jc w:val="center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LEI</w:t>
      </w:r>
      <w:r w:rsidR="00505022" w:rsidRPr="00945999">
        <w:rPr>
          <w:rFonts w:ascii="Times New Roman" w:hAnsi="Times New Roman" w:cs="Times New Roman"/>
          <w:sz w:val="22"/>
          <w:szCs w:val="22"/>
        </w:rPr>
        <w:t xml:space="preserve"> COMPLEMENTAR</w:t>
      </w:r>
      <w:r w:rsidRPr="00945999">
        <w:rPr>
          <w:rFonts w:ascii="Times New Roman" w:hAnsi="Times New Roman" w:cs="Times New Roman"/>
          <w:sz w:val="22"/>
          <w:szCs w:val="22"/>
        </w:rPr>
        <w:t xml:space="preserve"> N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</w:t>
      </w:r>
      <w:r w:rsidR="0069751D" w:rsidRPr="00945999">
        <w:rPr>
          <w:rFonts w:ascii="Times New Roman" w:hAnsi="Times New Roman" w:cs="Times New Roman"/>
          <w:sz w:val="22"/>
          <w:szCs w:val="22"/>
        </w:rPr>
        <w:t>16</w:t>
      </w:r>
      <w:r w:rsidR="00945999" w:rsidRPr="00945999">
        <w:rPr>
          <w:rFonts w:ascii="Times New Roman" w:hAnsi="Times New Roman" w:cs="Times New Roman"/>
          <w:sz w:val="22"/>
          <w:szCs w:val="22"/>
        </w:rPr>
        <w:t>8</w:t>
      </w:r>
      <w:r w:rsidRPr="00945999">
        <w:rPr>
          <w:rFonts w:ascii="Times New Roman" w:hAnsi="Times New Roman" w:cs="Times New Roman"/>
          <w:sz w:val="22"/>
          <w:szCs w:val="22"/>
        </w:rPr>
        <w:t xml:space="preserve">, DE </w:t>
      </w:r>
      <w:r w:rsidR="00945999" w:rsidRPr="00945999">
        <w:rPr>
          <w:rFonts w:ascii="Times New Roman" w:hAnsi="Times New Roman" w:cs="Times New Roman"/>
          <w:sz w:val="22"/>
          <w:szCs w:val="22"/>
        </w:rPr>
        <w:t>14 DE MARÇO</w:t>
      </w:r>
      <w:r w:rsidR="00517F0D" w:rsidRPr="00945999">
        <w:rPr>
          <w:rFonts w:ascii="Times New Roman" w:hAnsi="Times New Roman" w:cs="Times New Roman"/>
          <w:sz w:val="22"/>
          <w:szCs w:val="22"/>
        </w:rPr>
        <w:t xml:space="preserve"> DE 2022</w:t>
      </w:r>
      <w:r w:rsidRPr="00945999">
        <w:rPr>
          <w:rFonts w:ascii="Times New Roman" w:hAnsi="Times New Roman" w:cs="Times New Roman"/>
          <w:sz w:val="22"/>
          <w:szCs w:val="22"/>
        </w:rPr>
        <w:t>.</w:t>
      </w:r>
    </w:p>
    <w:p w14:paraId="1CBAC657" w14:textId="77777777" w:rsidR="000543E2" w:rsidRPr="00945999" w:rsidRDefault="000543E2" w:rsidP="00945999">
      <w:pPr>
        <w:ind w:firstLine="709"/>
        <w:contextualSpacing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1C1FEF97" w14:textId="77777777" w:rsidR="00945999" w:rsidRPr="00945999" w:rsidRDefault="00945999" w:rsidP="00945999">
      <w:pPr>
        <w:ind w:left="5387"/>
        <w:contextualSpacing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459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Estabelece, em caráter extraordinário, normas excepcionais destinadas à legalização </w:t>
      </w:r>
      <w:r w:rsidRPr="00945999">
        <w:rPr>
          <w:rFonts w:ascii="Times New Roman" w:hAnsi="Times New Roman" w:cs="Times New Roman"/>
          <w:color w:val="000000"/>
          <w:sz w:val="22"/>
          <w:szCs w:val="22"/>
        </w:rPr>
        <w:t xml:space="preserve">de obras, em situação consolidada, edificadas em desacordo com o </w:t>
      </w:r>
      <w:r w:rsidRPr="0094599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Plano Diretor Participativo de Desenvolvimento Sustentável do Município de Santa Rosa, o </w:t>
      </w:r>
      <w:r w:rsidRPr="00945999">
        <w:rPr>
          <w:rFonts w:ascii="Times New Roman" w:hAnsi="Times New Roman" w:cs="Times New Roman"/>
          <w:color w:val="000000"/>
          <w:sz w:val="22"/>
          <w:szCs w:val="22"/>
        </w:rPr>
        <w:t>Código de Obras, e legislação urbanística</w:t>
      </w:r>
      <w:r w:rsidRPr="00945999">
        <w:rPr>
          <w:rFonts w:ascii="Times New Roman" w:hAnsi="Times New Roman" w:cs="Times New Roman"/>
          <w:bCs/>
          <w:color w:val="000000"/>
          <w:sz w:val="22"/>
          <w:szCs w:val="22"/>
        </w:rPr>
        <w:t>; altera a</w:t>
      </w:r>
      <w:r w:rsidRPr="00945999">
        <w:rPr>
          <w:rFonts w:ascii="Times New Roman" w:hAnsi="Times New Roman" w:cs="Times New Roman"/>
          <w:color w:val="000000"/>
          <w:sz w:val="22"/>
          <w:szCs w:val="22"/>
        </w:rPr>
        <w:t xml:space="preserve"> L</w:t>
      </w:r>
      <w:r w:rsidRPr="00945999">
        <w:rPr>
          <w:rFonts w:ascii="Times New Roman" w:hAnsi="Times New Roman" w:cs="Times New Roman"/>
          <w:bCs/>
          <w:color w:val="000000"/>
          <w:sz w:val="22"/>
          <w:szCs w:val="22"/>
        </w:rPr>
        <w:t>ei Complementar n</w:t>
      </w:r>
      <w:r w:rsidRPr="00945999">
        <w:rPr>
          <w:rFonts w:ascii="Times New Roman" w:hAnsi="Times New Roman" w:cs="Times New Roman"/>
          <w:bCs/>
          <w:color w:val="000000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157, de 15 de julho de 2021</w:t>
      </w:r>
      <w:r w:rsidRPr="00945999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Pr="00945999">
        <w:rPr>
          <w:rFonts w:ascii="Times New Roman" w:hAnsi="Times New Roman" w:cs="Times New Roman"/>
          <w:bCs/>
          <w:color w:val="000000"/>
          <w:sz w:val="22"/>
          <w:szCs w:val="22"/>
        </w:rPr>
        <w:t>revoga a Lei n</w:t>
      </w:r>
      <w:r w:rsidRPr="00945999">
        <w:rPr>
          <w:rFonts w:ascii="Times New Roman" w:hAnsi="Times New Roman" w:cs="Times New Roman"/>
          <w:bCs/>
          <w:strike/>
          <w:color w:val="000000"/>
          <w:sz w:val="22"/>
          <w:szCs w:val="22"/>
        </w:rPr>
        <w:t>º</w:t>
      </w:r>
      <w:r w:rsidRPr="009459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5.503, de 20 de maio de 2019; e dá outras providências.  </w:t>
      </w:r>
    </w:p>
    <w:p w14:paraId="37C5F37A" w14:textId="77777777" w:rsidR="00517F0D" w:rsidRPr="00945999" w:rsidRDefault="00517F0D" w:rsidP="00945999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A9B40DA" w14:textId="77777777" w:rsidR="00543F97" w:rsidRPr="00945999" w:rsidRDefault="00543F97" w:rsidP="00945999">
      <w:pPr>
        <w:ind w:firstLine="709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945999">
        <w:rPr>
          <w:rFonts w:ascii="Times New Roman" w:hAnsi="Times New Roman" w:cs="Times New Roman"/>
          <w:kern w:val="0"/>
          <w:sz w:val="22"/>
          <w:szCs w:val="22"/>
        </w:rPr>
        <w:t>O PREFEITO MUNICIPAL DE SANTA ROSA, Estado do Rio Grande do Sul, no uso das atribuições que lhe são conferidas pela Lei Orgânica Municipal, artigo 55,</w:t>
      </w:r>
    </w:p>
    <w:p w14:paraId="0113AF9C" w14:textId="77777777" w:rsidR="00543F97" w:rsidRPr="00945999" w:rsidRDefault="00543F97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B44A0ED" w14:textId="77777777" w:rsidR="00543F97" w:rsidRPr="00945999" w:rsidRDefault="00543F97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FAZ SABER que a Câmara de Vereadores aprovou e eu sanciono a seguinte Lei Complementar:</w:t>
      </w:r>
    </w:p>
    <w:p w14:paraId="53A52E13" w14:textId="77777777" w:rsidR="00543F97" w:rsidRPr="00945999" w:rsidRDefault="00543F97" w:rsidP="00945999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60EB8412" w14:textId="77777777" w:rsidR="00945999" w:rsidRPr="00945999" w:rsidRDefault="00945999" w:rsidP="00945999">
      <w:pPr>
        <w:jc w:val="center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CAPÍTULO I</w:t>
      </w:r>
    </w:p>
    <w:p w14:paraId="46369AAE" w14:textId="77777777" w:rsidR="00945999" w:rsidRPr="00945999" w:rsidRDefault="00945999" w:rsidP="00945999">
      <w:pPr>
        <w:jc w:val="center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DISPOSIÇÕES GERAIS</w:t>
      </w:r>
    </w:p>
    <w:p w14:paraId="37D8CD84" w14:textId="77777777" w:rsidR="00945999" w:rsidRPr="00945999" w:rsidRDefault="00945999" w:rsidP="009459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5125A9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Hlk74747418"/>
      <w:r w:rsidRPr="00945999">
        <w:rPr>
          <w:rFonts w:ascii="Times New Roman" w:hAnsi="Times New Roman" w:cs="Times New Roman"/>
          <w:sz w:val="22"/>
          <w:szCs w:val="22"/>
        </w:rPr>
        <w:t>Art. 1</w:t>
      </w:r>
      <w:r w:rsidRPr="00945999">
        <w:rPr>
          <w:rFonts w:ascii="Times New Roman" w:hAnsi="Times New Roman" w:cs="Times New Roman"/>
          <w:b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bCs/>
          <w:sz w:val="22"/>
          <w:szCs w:val="22"/>
        </w:rPr>
        <w:t>Ficam estabelecidas, em caráter extraordinário, nos termos desta Lei Complementar, normas excepcionais destinadas à legalização de obras, em situação consolidada, edificadas</w:t>
      </w:r>
      <w:r w:rsidRPr="0094599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sz w:val="22"/>
          <w:szCs w:val="22"/>
        </w:rPr>
        <w:t>em</w:t>
      </w:r>
      <w:r w:rsidRPr="0094599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sz w:val="22"/>
          <w:szCs w:val="22"/>
        </w:rPr>
        <w:t>desacordo com a Lei Complementar n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118, de 28 de agosto de 2017, que institui o Plano Diretor Participativo de Desenvolvimento Sustentável do Município de Santa Rosa</w:t>
      </w:r>
      <w:bookmarkStart w:id="1" w:name="_Hlk73541489"/>
      <w:r w:rsidRPr="00945999">
        <w:rPr>
          <w:rFonts w:ascii="Times New Roman" w:hAnsi="Times New Roman" w:cs="Times New Roman"/>
          <w:sz w:val="22"/>
          <w:szCs w:val="22"/>
        </w:rPr>
        <w:t xml:space="preserve"> e suas alterações</w:t>
      </w:r>
      <w:bookmarkEnd w:id="1"/>
      <w:r w:rsidRPr="00945999">
        <w:rPr>
          <w:rFonts w:ascii="Times New Roman" w:hAnsi="Times New Roman" w:cs="Times New Roman"/>
          <w:sz w:val="22"/>
          <w:szCs w:val="22"/>
        </w:rPr>
        <w:t>, a Lei Complementar n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58, de 12 de abril de 2010, que institui o Código de Obras do Município de Santa Rosa e suas alterações, e, legislação urbanística</w:t>
      </w:r>
      <w:r w:rsidRPr="00945999">
        <w:rPr>
          <w:rFonts w:ascii="Times New Roman" w:hAnsi="Times New Roman" w:cs="Times New Roman"/>
          <w:bCs/>
          <w:sz w:val="22"/>
          <w:szCs w:val="22"/>
        </w:rPr>
        <w:t>.</w:t>
      </w:r>
    </w:p>
    <w:p w14:paraId="4BA16F68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74746541"/>
      <w:r w:rsidRPr="00945999">
        <w:rPr>
          <w:rFonts w:ascii="Times New Roman" w:hAnsi="Times New Roman" w:cs="Times New Roman"/>
          <w:sz w:val="22"/>
          <w:szCs w:val="22"/>
        </w:rPr>
        <w:t>Art. 2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sz w:val="22"/>
          <w:szCs w:val="22"/>
        </w:rPr>
        <w:t>Para fins de aplicação nesta Lei Complementar, serão adotadas as seguintes definições:</w:t>
      </w:r>
    </w:p>
    <w:bookmarkEnd w:id="2"/>
    <w:p w14:paraId="0B3BC6F8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I – </w:t>
      </w:r>
      <w:proofErr w:type="gramStart"/>
      <w:r w:rsidRPr="00945999">
        <w:rPr>
          <w:rFonts w:ascii="Times New Roman" w:hAnsi="Times New Roman" w:cs="Times New Roman"/>
          <w:sz w:val="22"/>
          <w:szCs w:val="22"/>
        </w:rPr>
        <w:t>obras</w:t>
      </w:r>
      <w:proofErr w:type="gramEnd"/>
      <w:r w:rsidRPr="00945999">
        <w:rPr>
          <w:rFonts w:ascii="Times New Roman" w:hAnsi="Times New Roman" w:cs="Times New Roman"/>
          <w:sz w:val="22"/>
          <w:szCs w:val="22"/>
        </w:rPr>
        <w:t>: todas as construções, edificações, reformas, recuperações ou ampliações, elementos de fechamento de terreno (muros, muretas, muretas de entrada de energia/água, cercas, grades e similares), e que sejam consideradas consolidadas na forma desta Lei Complementar;</w:t>
      </w:r>
    </w:p>
    <w:p w14:paraId="0F4CD7F0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II – </w:t>
      </w:r>
      <w:proofErr w:type="gramStart"/>
      <w:r w:rsidRPr="00945999">
        <w:rPr>
          <w:rFonts w:ascii="Times New Roman" w:hAnsi="Times New Roman" w:cs="Times New Roman"/>
          <w:sz w:val="22"/>
          <w:szCs w:val="22"/>
        </w:rPr>
        <w:t>taxa</w:t>
      </w:r>
      <w:proofErr w:type="gramEnd"/>
      <w:r w:rsidRPr="00945999">
        <w:rPr>
          <w:rFonts w:ascii="Times New Roman" w:hAnsi="Times New Roman" w:cs="Times New Roman"/>
          <w:sz w:val="22"/>
          <w:szCs w:val="22"/>
        </w:rPr>
        <w:t xml:space="preserve"> de permeabilidade: corresponde a relação percentual entre a área do terreno ou imóvel livre de qualquer construção ou edificação recoberta com vegetação e a área total do lote, terreno ou gleba, para a garantia da permeabilidade do solo;</w:t>
      </w:r>
    </w:p>
    <w:p w14:paraId="1204BC60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III – prisma de ventilação e iluminação (PVI): é o vão vertical utilizado para ventilar/iluminar dependências da edificação, descoberto, cercado por 3 (três) lados, com dimensões previstas na Lei Complementar n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58, de 2010, sendo, também, considerado PVI quando houver um acesso ao vão por um dos lados e, este acesso, possuir largura inferior a 1,50m (um metro e cinquenta centímetros); </w:t>
      </w:r>
    </w:p>
    <w:p w14:paraId="5ABB6C77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IV – ART – Anotação de Responsabilidade Técnica - documento emitido por profissional legalmente habilitado perante o Órgão de Classe; </w:t>
      </w:r>
    </w:p>
    <w:p w14:paraId="633CF6E8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V – RRT – Registro de Responsabilidade Técnica - documento emitido por profissional legalmente habilitado perante o Órgão de Classe; </w:t>
      </w:r>
    </w:p>
    <w:p w14:paraId="34D90EC7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VI – área útil de atendimento: aquela área realmente disponível para atendimento, medida entre os parâmetros internos das paredes que delimitam o compartimento;</w:t>
      </w:r>
    </w:p>
    <w:p w14:paraId="0618C2BC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VII – estabelecimento assistencial de saúde – EAS; </w:t>
      </w:r>
    </w:p>
    <w:p w14:paraId="7EF362FC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VIII – o</w:t>
      </w:r>
      <w:r w:rsidRPr="00945999">
        <w:rPr>
          <w:rFonts w:ascii="Times New Roman" w:hAnsi="Times New Roman" w:cs="Times New Roman"/>
          <w:iCs/>
          <w:sz w:val="22"/>
          <w:szCs w:val="22"/>
        </w:rPr>
        <w:t>bras consolidadas: aquelas que apresentarem comprovação de existência anterior à entrada em vigor desta Lei Complementar.</w:t>
      </w:r>
    </w:p>
    <w:p w14:paraId="5A2962B1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iCs/>
          <w:color w:val="00B0F0"/>
          <w:sz w:val="22"/>
          <w:szCs w:val="22"/>
        </w:rPr>
      </w:pPr>
    </w:p>
    <w:p w14:paraId="00BC17F7" w14:textId="77777777" w:rsidR="00945999" w:rsidRPr="00945999" w:rsidRDefault="00945999" w:rsidP="00945999">
      <w:pPr>
        <w:jc w:val="center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CAPÍTULO II</w:t>
      </w:r>
    </w:p>
    <w:p w14:paraId="4AF01547" w14:textId="77777777" w:rsidR="00945999" w:rsidRPr="00945999" w:rsidRDefault="00945999" w:rsidP="00945999">
      <w:pPr>
        <w:jc w:val="center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DAS HIPÓTESES DE ENQUADRAMENTO, </w:t>
      </w:r>
    </w:p>
    <w:p w14:paraId="776D279F" w14:textId="77777777" w:rsidR="00945999" w:rsidRPr="00945999" w:rsidRDefault="00945999" w:rsidP="00945999">
      <w:pPr>
        <w:jc w:val="center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CONDIÇÕES E REQUISITOS À LEGALIZAÇÃO DE OBRAS</w:t>
      </w:r>
    </w:p>
    <w:p w14:paraId="3195FA78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61B6A33C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Art. 3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Respeitado o disposto no art. 1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desta Lei Complementar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, o Poder Executivo fica autorizado a aprovar e emitir os correspondentes documentos de legalização das obras, em situação consolidada, edificadas </w:t>
      </w:r>
      <w:r w:rsidRPr="00945999">
        <w:rPr>
          <w:rFonts w:ascii="Times New Roman" w:hAnsi="Times New Roman" w:cs="Times New Roman"/>
          <w:sz w:val="22"/>
          <w:szCs w:val="22"/>
        </w:rPr>
        <w:lastRenderedPageBreak/>
        <w:t>em desacordo com a legislação acima referida desde que estejam enquadradas, conforme o caso, nas hipóteses a seguir descritas:</w:t>
      </w:r>
    </w:p>
    <w:p w14:paraId="36A1263D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5999">
        <w:rPr>
          <w:rFonts w:ascii="Times New Roman" w:hAnsi="Times New Roman" w:cs="Times New Roman"/>
          <w:bCs/>
          <w:sz w:val="22"/>
          <w:szCs w:val="22"/>
        </w:rPr>
        <w:t xml:space="preserve">I </w:t>
      </w:r>
      <w:r w:rsidRPr="00945999">
        <w:rPr>
          <w:rFonts w:ascii="Times New Roman" w:hAnsi="Times New Roman" w:cs="Times New Roman"/>
          <w:sz w:val="22"/>
          <w:szCs w:val="22"/>
        </w:rPr>
        <w:t>–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945999">
        <w:rPr>
          <w:rFonts w:ascii="Times New Roman" w:hAnsi="Times New Roman" w:cs="Times New Roman"/>
          <w:sz w:val="22"/>
          <w:szCs w:val="22"/>
        </w:rPr>
        <w:t>as</w:t>
      </w:r>
      <w:proofErr w:type="gramEnd"/>
      <w:r w:rsidRPr="00945999">
        <w:rPr>
          <w:rFonts w:ascii="Times New Roman" w:hAnsi="Times New Roman" w:cs="Times New Roman"/>
          <w:sz w:val="22"/>
          <w:szCs w:val="22"/>
        </w:rPr>
        <w:t xml:space="preserve"> obras edificadas sobre o recuo frontal;</w:t>
      </w:r>
    </w:p>
    <w:p w14:paraId="5F44CC26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5999">
        <w:rPr>
          <w:rFonts w:ascii="Times New Roman" w:hAnsi="Times New Roman" w:cs="Times New Roman"/>
          <w:bCs/>
          <w:sz w:val="22"/>
          <w:szCs w:val="22"/>
        </w:rPr>
        <w:t xml:space="preserve">II </w:t>
      </w:r>
      <w:r w:rsidRPr="00945999">
        <w:rPr>
          <w:rFonts w:ascii="Times New Roman" w:hAnsi="Times New Roman" w:cs="Times New Roman"/>
          <w:sz w:val="22"/>
          <w:szCs w:val="22"/>
        </w:rPr>
        <w:t xml:space="preserve">– </w:t>
      </w:r>
      <w:proofErr w:type="gramStart"/>
      <w:r w:rsidRPr="00945999">
        <w:rPr>
          <w:rFonts w:ascii="Times New Roman" w:hAnsi="Times New Roman" w:cs="Times New Roman"/>
          <w:sz w:val="22"/>
          <w:szCs w:val="22"/>
        </w:rPr>
        <w:t>as</w:t>
      </w:r>
      <w:proofErr w:type="gramEnd"/>
      <w:r w:rsidRPr="00945999">
        <w:rPr>
          <w:rFonts w:ascii="Times New Roman" w:hAnsi="Times New Roman" w:cs="Times New Roman"/>
          <w:sz w:val="22"/>
          <w:szCs w:val="22"/>
        </w:rPr>
        <w:t xml:space="preserve"> obras edificadas sem afastamento de fundo, até a altura máxima de 7,00 (sete) metros, incluindo a cobertura; </w:t>
      </w:r>
    </w:p>
    <w:p w14:paraId="6D58AD69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bCs/>
          <w:sz w:val="22"/>
          <w:szCs w:val="22"/>
        </w:rPr>
        <w:t xml:space="preserve">III </w:t>
      </w:r>
      <w:r w:rsidRPr="00945999">
        <w:rPr>
          <w:rFonts w:ascii="Times New Roman" w:hAnsi="Times New Roman" w:cs="Times New Roman"/>
          <w:sz w:val="22"/>
          <w:szCs w:val="22"/>
        </w:rPr>
        <w:t xml:space="preserve">– </w:t>
      </w:r>
      <w:bookmarkStart w:id="3" w:name="_Hlk88469455"/>
      <w:r w:rsidRPr="00945999">
        <w:rPr>
          <w:rFonts w:ascii="Times New Roman" w:hAnsi="Times New Roman" w:cs="Times New Roman"/>
          <w:sz w:val="22"/>
          <w:szCs w:val="22"/>
        </w:rPr>
        <w:t>as obras com taxa de permeabilidade inferior àquela estabelecida na Lei Complementar n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118, de 2017;</w:t>
      </w:r>
      <w:bookmarkEnd w:id="3"/>
    </w:p>
    <w:p w14:paraId="7E018CA7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bCs/>
          <w:kern w:val="2"/>
          <w:sz w:val="22"/>
          <w:szCs w:val="22"/>
        </w:rPr>
      </w:pPr>
      <w:r w:rsidRPr="00945999">
        <w:rPr>
          <w:rFonts w:ascii="Times New Roman" w:hAnsi="Times New Roman" w:cs="Times New Roman"/>
          <w:bCs/>
          <w:sz w:val="22"/>
          <w:szCs w:val="22"/>
        </w:rPr>
        <w:t xml:space="preserve">IV </w:t>
      </w:r>
      <w:r w:rsidRPr="00945999">
        <w:rPr>
          <w:rFonts w:ascii="Times New Roman" w:hAnsi="Times New Roman" w:cs="Times New Roman"/>
          <w:sz w:val="22"/>
          <w:szCs w:val="22"/>
        </w:rPr>
        <w:t>–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945999">
        <w:rPr>
          <w:rFonts w:ascii="Times New Roman" w:hAnsi="Times New Roman" w:cs="Times New Roman"/>
          <w:bCs/>
          <w:sz w:val="22"/>
          <w:szCs w:val="22"/>
        </w:rPr>
        <w:t>a</w:t>
      </w:r>
      <w:r w:rsidRPr="00945999">
        <w:rPr>
          <w:rFonts w:ascii="Times New Roman" w:hAnsi="Times New Roman" w:cs="Times New Roman"/>
          <w:sz w:val="22"/>
          <w:szCs w:val="22"/>
        </w:rPr>
        <w:t>s</w:t>
      </w:r>
      <w:proofErr w:type="gramEnd"/>
      <w:r w:rsidRPr="00945999">
        <w:rPr>
          <w:rFonts w:ascii="Times New Roman" w:hAnsi="Times New Roman" w:cs="Times New Roman"/>
          <w:sz w:val="22"/>
          <w:szCs w:val="22"/>
        </w:rPr>
        <w:t xml:space="preserve"> obras edificadas com vãos de iluminação e ventilação quando estiverem a menos de 1,50m (um metro e cinquenta centímetros) da(s) divisa(s) e houver consentimento do(s) proprietário(s) lindeiro(s); </w:t>
      </w:r>
    </w:p>
    <w:p w14:paraId="1C7DD815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45999">
        <w:rPr>
          <w:rFonts w:ascii="Times New Roman" w:hAnsi="Times New Roman" w:cs="Times New Roman"/>
          <w:bCs/>
          <w:sz w:val="22"/>
          <w:szCs w:val="22"/>
        </w:rPr>
        <w:t>V –</w:t>
      </w:r>
      <w:r w:rsidRPr="0094599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45999">
        <w:rPr>
          <w:rFonts w:ascii="Times New Roman" w:hAnsi="Times New Roman" w:cs="Times New Roman"/>
          <w:sz w:val="22"/>
          <w:szCs w:val="22"/>
        </w:rPr>
        <w:t>as</w:t>
      </w:r>
      <w:proofErr w:type="gramEnd"/>
      <w:r w:rsidRPr="00945999">
        <w:rPr>
          <w:rFonts w:ascii="Times New Roman" w:hAnsi="Times New Roman" w:cs="Times New Roman"/>
          <w:sz w:val="22"/>
          <w:szCs w:val="22"/>
        </w:rPr>
        <w:t xml:space="preserve"> obras edificadas que possuam o deságue de beiral/calhas de telhado sobre a(s) divisa(s) ou similar(es) e houver o consentimento do(s) proprietário(s) lindeiro(s);</w:t>
      </w:r>
    </w:p>
    <w:p w14:paraId="22D76962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iCs/>
          <w:sz w:val="22"/>
          <w:szCs w:val="22"/>
        </w:rPr>
        <w:t xml:space="preserve">VI </w:t>
      </w:r>
      <w:r w:rsidRPr="00945999">
        <w:rPr>
          <w:rFonts w:ascii="Times New Roman" w:hAnsi="Times New Roman" w:cs="Times New Roman"/>
          <w:sz w:val="22"/>
          <w:szCs w:val="22"/>
        </w:rPr>
        <w:t>–</w:t>
      </w:r>
      <w:r w:rsidRPr="00945999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gramStart"/>
      <w:r w:rsidRPr="00945999">
        <w:rPr>
          <w:rFonts w:ascii="Times New Roman" w:hAnsi="Times New Roman" w:cs="Times New Roman"/>
          <w:iCs/>
          <w:sz w:val="22"/>
          <w:szCs w:val="22"/>
        </w:rPr>
        <w:t>as</w:t>
      </w:r>
      <w:proofErr w:type="gramEnd"/>
      <w:r w:rsidRPr="00945999">
        <w:rPr>
          <w:rFonts w:ascii="Times New Roman" w:hAnsi="Times New Roman" w:cs="Times New Roman"/>
          <w:iCs/>
          <w:sz w:val="22"/>
          <w:szCs w:val="22"/>
        </w:rPr>
        <w:t xml:space="preserve"> obras edificadas com até 5 (cinco) pavimentos, considerados acima da soleira de acesso à edificação, inclusive, que não possuam elevador</w:t>
      </w:r>
      <w:r w:rsidRPr="00945999">
        <w:rPr>
          <w:rFonts w:ascii="Times New Roman" w:hAnsi="Times New Roman" w:cs="Times New Roman"/>
          <w:sz w:val="22"/>
          <w:szCs w:val="22"/>
        </w:rPr>
        <w:t>;</w:t>
      </w:r>
    </w:p>
    <w:p w14:paraId="3CF2A094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VII – as obras edificadas com ambientes sem ventilação ou pé-direito inferior àquele permitido na Lei Complementar n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58, de 2010, ou, que ocorram simultaneamente;</w:t>
      </w:r>
    </w:p>
    <w:p w14:paraId="43072EA6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VIII – nos lotes que possuírem muros construídos no(s) alinhamento(s) do lote em medida de comprimento e/ou altura e, nas divisas laterais e de fundo, com altura superior àquela permitida na Lei Complementar n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58, de 2010, e houver o consentimento do(s) proprietário(s) lindeiro(s);</w:t>
      </w:r>
    </w:p>
    <w:p w14:paraId="05956AD4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4" w:name="_Hlk88466603"/>
      <w:r w:rsidRPr="00945999">
        <w:rPr>
          <w:rFonts w:ascii="Times New Roman" w:hAnsi="Times New Roman" w:cs="Times New Roman"/>
          <w:iCs/>
          <w:sz w:val="22"/>
          <w:szCs w:val="22"/>
        </w:rPr>
        <w:t xml:space="preserve">IX </w:t>
      </w:r>
      <w:r w:rsidRPr="00945999">
        <w:rPr>
          <w:rFonts w:ascii="Times New Roman" w:hAnsi="Times New Roman" w:cs="Times New Roman"/>
          <w:sz w:val="22"/>
          <w:szCs w:val="22"/>
        </w:rPr>
        <w:t>–</w:t>
      </w:r>
      <w:r w:rsidRPr="00945999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gramStart"/>
      <w:r w:rsidRPr="00945999">
        <w:rPr>
          <w:rFonts w:ascii="Times New Roman" w:hAnsi="Times New Roman" w:cs="Times New Roman"/>
          <w:iCs/>
          <w:sz w:val="22"/>
          <w:szCs w:val="22"/>
        </w:rPr>
        <w:t>as</w:t>
      </w:r>
      <w:proofErr w:type="gramEnd"/>
      <w:r w:rsidRPr="00945999">
        <w:rPr>
          <w:rFonts w:ascii="Times New Roman" w:hAnsi="Times New Roman" w:cs="Times New Roman"/>
          <w:iCs/>
          <w:sz w:val="22"/>
          <w:szCs w:val="22"/>
        </w:rPr>
        <w:t xml:space="preserve"> obras em madeira </w:t>
      </w:r>
      <w:r w:rsidRPr="00945999">
        <w:rPr>
          <w:rFonts w:ascii="Times New Roman" w:hAnsi="Times New Roman" w:cs="Times New Roman"/>
          <w:sz w:val="22"/>
          <w:szCs w:val="22"/>
        </w:rPr>
        <w:t xml:space="preserve">quando estiverem sobre, ou a menos, de 1,50m (um metro e cinquenta centímetros) da(s) divisa(s) e houver consentimento do(s) proprietário(s) lindeiro(s); </w:t>
      </w:r>
      <w:bookmarkEnd w:id="4"/>
    </w:p>
    <w:p w14:paraId="502FF64B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iCs/>
          <w:sz w:val="22"/>
          <w:szCs w:val="22"/>
        </w:rPr>
        <w:t xml:space="preserve">X </w:t>
      </w:r>
      <w:r w:rsidRPr="00945999">
        <w:rPr>
          <w:rFonts w:ascii="Times New Roman" w:hAnsi="Times New Roman" w:cs="Times New Roman"/>
          <w:sz w:val="22"/>
          <w:szCs w:val="22"/>
        </w:rPr>
        <w:t>–</w:t>
      </w:r>
      <w:r w:rsidRPr="00945999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gramStart"/>
      <w:r w:rsidRPr="00945999">
        <w:rPr>
          <w:rFonts w:ascii="Times New Roman" w:hAnsi="Times New Roman" w:cs="Times New Roman"/>
          <w:iCs/>
          <w:sz w:val="22"/>
          <w:szCs w:val="22"/>
        </w:rPr>
        <w:t>as</w:t>
      </w:r>
      <w:proofErr w:type="gramEnd"/>
      <w:r w:rsidRPr="00945999">
        <w:rPr>
          <w:rFonts w:ascii="Times New Roman" w:hAnsi="Times New Roman" w:cs="Times New Roman"/>
          <w:iCs/>
          <w:sz w:val="22"/>
          <w:szCs w:val="22"/>
        </w:rPr>
        <w:t xml:space="preserve"> obras que possuírem ocupação da estrutura física da edificação lindeira para fechamento e/ou apoio de estruturas de coberturas</w:t>
      </w:r>
      <w:r w:rsidRPr="00945999">
        <w:rPr>
          <w:rFonts w:ascii="Times New Roman" w:hAnsi="Times New Roman" w:cs="Times New Roman"/>
          <w:sz w:val="22"/>
          <w:szCs w:val="22"/>
        </w:rPr>
        <w:t xml:space="preserve"> e houver consentimento do(s) proprietário(s) lindeiro(s); </w:t>
      </w:r>
    </w:p>
    <w:p w14:paraId="5B088CB0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XI – as obras que não atendam as medidas mínimas dos PVI previstas na Lei Complementar n</w:t>
      </w:r>
      <w:r w:rsidRPr="00945999">
        <w:rPr>
          <w:rFonts w:ascii="Times New Roman" w:hAnsi="Times New Roman" w:cs="Times New Roman"/>
          <w:sz w:val="22"/>
          <w:szCs w:val="22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58, de 2010;</w:t>
      </w:r>
    </w:p>
    <w:p w14:paraId="720A15EC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XII </w:t>
      </w:r>
      <w:bookmarkStart w:id="5" w:name="_Hlk91063439"/>
      <w:r w:rsidRPr="00945999">
        <w:rPr>
          <w:rFonts w:ascii="Times New Roman" w:hAnsi="Times New Roman" w:cs="Times New Roman"/>
          <w:sz w:val="22"/>
          <w:szCs w:val="22"/>
        </w:rPr>
        <w:t>–</w:t>
      </w:r>
      <w:bookmarkEnd w:id="5"/>
      <w:r w:rsidRPr="00945999">
        <w:rPr>
          <w:rFonts w:ascii="Times New Roman" w:hAnsi="Times New Roman" w:cs="Times New Roman"/>
          <w:sz w:val="22"/>
          <w:szCs w:val="22"/>
        </w:rPr>
        <w:t xml:space="preserve"> as obras com taxa de ocupação superior àquela permitida na Lei Complementar n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118, de 2017;</w:t>
      </w:r>
    </w:p>
    <w:p w14:paraId="07F804B6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XIII – obras que não atendam às questões de acessibilidade, conforme legislação de regência, observando que:</w:t>
      </w:r>
    </w:p>
    <w:p w14:paraId="50D964E7" w14:textId="77777777" w:rsidR="00945999" w:rsidRPr="00945999" w:rsidRDefault="00945999" w:rsidP="00945999">
      <w:pPr>
        <w:numPr>
          <w:ilvl w:val="0"/>
          <w:numId w:val="3"/>
        </w:numPr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estão excluídas dos benefícios abrangidos por esta Lei Complementar as obras declaradas inviáveis de adequação com fundamento, apenas, em justificativa de inviabilidade financeira;  </w:t>
      </w:r>
    </w:p>
    <w:p w14:paraId="3F00C0E5" w14:textId="77777777" w:rsidR="00945999" w:rsidRPr="00945999" w:rsidRDefault="00945999" w:rsidP="00945999">
      <w:pPr>
        <w:numPr>
          <w:ilvl w:val="0"/>
          <w:numId w:val="3"/>
        </w:numPr>
        <w:suppressAutoHyphens w:val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estão excluídas dos benefícios desta Lei Complementar as edificações/salas com finalidade de uso do tipo EAS, instituições de ensino e estabelecimentos comerciais com venda de alimentos e/ou bebidas com consumo no local de atendimento; </w:t>
      </w:r>
    </w:p>
    <w:p w14:paraId="1AF4D5E7" w14:textId="77777777" w:rsidR="00945999" w:rsidRPr="00945999" w:rsidRDefault="00945999" w:rsidP="00945999">
      <w:pPr>
        <w:numPr>
          <w:ilvl w:val="0"/>
          <w:numId w:val="3"/>
        </w:numPr>
        <w:suppressAutoHyphens w:val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ficam incluídas na possibilidade de legalização as salas comerciais com área útil de atendimento inferior a 75m² (setenta e cinco metros quadrados) que estejam dispensadas, apenas, de apresentação de sanitário acessível; </w:t>
      </w:r>
    </w:p>
    <w:p w14:paraId="3DBEC80C" w14:textId="77777777" w:rsidR="00945999" w:rsidRPr="00945999" w:rsidRDefault="00945999" w:rsidP="00945999">
      <w:pPr>
        <w:numPr>
          <w:ilvl w:val="0"/>
          <w:numId w:val="3"/>
        </w:numPr>
        <w:suppressAutoHyphens w:val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no caso de inviabilidade técnica para adequação da edificação à acessibilidade o proprietário do imóvel e o responsável técnico devem declarar a impossibilidade de atendimento/adequação tendo em vista, exclusivamente, as características técnicas da edificação, que deverão ser apresentadas em laudo específico, em meio digital, acompanhado de ART (contendo o item específico em “Descrição da Obra/Serviço” – Inviabilidade Técnica Acessibilidade) e/ou RRT (contendo no item Atividade Técnica: Laudo Técnico e na Descrição: Laudo de Inviabilidade Técnica Acessibilidade”), contendo, no mínimo, os seguintes itens:</w:t>
      </w:r>
    </w:p>
    <w:p w14:paraId="5B0D58FD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1.</w:t>
      </w:r>
      <w:r w:rsidRPr="00945999">
        <w:rPr>
          <w:rFonts w:ascii="Times New Roman" w:hAnsi="Times New Roman" w:cs="Times New Roman"/>
          <w:sz w:val="22"/>
          <w:szCs w:val="22"/>
        </w:rPr>
        <w:softHyphen/>
        <w:t xml:space="preserve"> os dados do imóvel (endereço, matrícula, n</w:t>
      </w:r>
      <w:r w:rsidRPr="00945999">
        <w:rPr>
          <w:rFonts w:ascii="Times New Roman" w:hAnsi="Times New Roman" w:cs="Times New Roman"/>
          <w:strike/>
          <w:sz w:val="22"/>
          <w:szCs w:val="22"/>
        </w:rPr>
        <w:t>º</w:t>
      </w:r>
      <w:r w:rsidRPr="00945999">
        <w:rPr>
          <w:rFonts w:ascii="Times New Roman" w:hAnsi="Times New Roman" w:cs="Times New Roman"/>
          <w:sz w:val="22"/>
          <w:szCs w:val="22"/>
        </w:rPr>
        <w:t xml:space="preserve"> de lote e quadra);</w:t>
      </w:r>
    </w:p>
    <w:p w14:paraId="2A1BB994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2. o número de registro da ART ou RRT;</w:t>
      </w:r>
    </w:p>
    <w:p w14:paraId="04AB2A2D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945999">
        <w:rPr>
          <w:rFonts w:ascii="Times New Roman" w:hAnsi="Times New Roman" w:cs="Times New Roman"/>
          <w:sz w:val="22"/>
          <w:szCs w:val="22"/>
        </w:rPr>
        <w:t>3. de</w:t>
      </w:r>
      <w:r w:rsidRPr="00945999">
        <w:rPr>
          <w:rFonts w:ascii="Times New Roman" w:hAnsi="Times New Roman" w:cs="Times New Roman"/>
          <w:sz w:val="22"/>
          <w:szCs w:val="22"/>
          <w:lang w:val="pt-PT"/>
        </w:rPr>
        <w:t>scrição do fato atestando a inviabilidade a ser comprovada de forma exclusivamente técnica;</w:t>
      </w:r>
    </w:p>
    <w:p w14:paraId="357DB7CC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945999">
        <w:rPr>
          <w:rFonts w:ascii="Times New Roman" w:hAnsi="Times New Roman" w:cs="Times New Roman"/>
          <w:sz w:val="22"/>
          <w:szCs w:val="22"/>
          <w:lang w:val="pt-PT"/>
        </w:rPr>
        <w:t>4. fotos comprovando o motivo técnico que inviabiliza a adequação da obra à acessibilidade;</w:t>
      </w:r>
    </w:p>
    <w:p w14:paraId="3300D079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945999">
        <w:rPr>
          <w:rFonts w:ascii="Times New Roman" w:hAnsi="Times New Roman" w:cs="Times New Roman"/>
          <w:sz w:val="22"/>
          <w:szCs w:val="22"/>
          <w:lang w:val="pt-PT"/>
        </w:rPr>
        <w:t>5. apresentar os elementos impeditivos, croquis/projetos, se necessários para auxiliar no entendimento do analista;</w:t>
      </w:r>
    </w:p>
    <w:p w14:paraId="414A70BF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945999">
        <w:rPr>
          <w:rFonts w:ascii="Times New Roman" w:hAnsi="Times New Roman" w:cs="Times New Roman"/>
          <w:sz w:val="22"/>
          <w:szCs w:val="22"/>
          <w:lang w:val="pt-PT"/>
        </w:rPr>
        <w:t>6. apresentação de possíveis medidas mitigatórias (por exemplo: o uso de rampas móveis onde possível e, quando usadas, nestes locais, deve haver a informação, através de placas indicativas normatizadas,</w:t>
      </w:r>
      <w:r w:rsidRPr="00945999">
        <w:rPr>
          <w:rFonts w:ascii="Times New Roman" w:hAnsi="Times New Roman" w:cs="Times New Roman"/>
          <w:color w:val="FF0000"/>
          <w:sz w:val="22"/>
          <w:szCs w:val="22"/>
          <w:lang w:val="pt-PT"/>
        </w:rPr>
        <w:t xml:space="preserve"> </w:t>
      </w:r>
      <w:r w:rsidRPr="00945999">
        <w:rPr>
          <w:rFonts w:ascii="Times New Roman" w:hAnsi="Times New Roman" w:cs="Times New Roman"/>
          <w:sz w:val="22"/>
          <w:szCs w:val="22"/>
          <w:lang w:val="pt-PT"/>
        </w:rPr>
        <w:t>fixadas em locais visíveis ao público, da existência destes equipamentos);</w:t>
      </w:r>
    </w:p>
    <w:p w14:paraId="5FD43177" w14:textId="77777777" w:rsidR="00945999" w:rsidRPr="00945999" w:rsidRDefault="00945999" w:rsidP="00945999">
      <w:pPr>
        <w:ind w:left="70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945999">
        <w:rPr>
          <w:rFonts w:ascii="Times New Roman" w:hAnsi="Times New Roman" w:cs="Times New Roman"/>
          <w:sz w:val="22"/>
          <w:szCs w:val="22"/>
          <w:lang w:val="pt-PT"/>
        </w:rPr>
        <w:t>7. dados do responsável técnico;</w:t>
      </w:r>
    </w:p>
    <w:p w14:paraId="6A7A9984" w14:textId="77777777" w:rsidR="00945999" w:rsidRPr="00945999" w:rsidRDefault="00945999" w:rsidP="00945999">
      <w:pPr>
        <w:ind w:left="70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945999">
        <w:rPr>
          <w:rFonts w:ascii="Times New Roman" w:hAnsi="Times New Roman" w:cs="Times New Roman"/>
          <w:sz w:val="22"/>
          <w:szCs w:val="22"/>
          <w:lang w:val="pt-PT"/>
        </w:rPr>
        <w:t>8. dados do proprietário;</w:t>
      </w:r>
    </w:p>
    <w:p w14:paraId="7C603D62" w14:textId="77777777" w:rsidR="00945999" w:rsidRPr="00945999" w:rsidRDefault="00945999" w:rsidP="00945999">
      <w:pPr>
        <w:ind w:left="70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945999">
        <w:rPr>
          <w:rFonts w:ascii="Times New Roman" w:hAnsi="Times New Roman" w:cs="Times New Roman"/>
          <w:sz w:val="22"/>
          <w:szCs w:val="22"/>
          <w:lang w:val="pt-PT"/>
        </w:rPr>
        <w:t>9. data;</w:t>
      </w:r>
    </w:p>
    <w:p w14:paraId="131FD00A" w14:textId="77777777" w:rsidR="00945999" w:rsidRPr="00945999" w:rsidRDefault="00945999" w:rsidP="00945999">
      <w:pPr>
        <w:ind w:left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  <w:lang w:val="pt-PT"/>
        </w:rPr>
        <w:t>10. assinatura do proprietário e responsável técnico.</w:t>
      </w:r>
    </w:p>
    <w:p w14:paraId="467CD7CA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bookmarkStart w:id="6" w:name="_Hlk88464682"/>
      <w:bookmarkStart w:id="7" w:name="_Hlk88645146"/>
      <w:r w:rsidRPr="00945999">
        <w:rPr>
          <w:rFonts w:ascii="Times New Roman" w:hAnsi="Times New Roman" w:cs="Times New Roman"/>
          <w:iCs/>
          <w:sz w:val="22"/>
          <w:szCs w:val="22"/>
        </w:rPr>
        <w:lastRenderedPageBreak/>
        <w:t>§1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</w:t>
      </w:r>
      <w:bookmarkEnd w:id="6"/>
      <w:r w:rsidRPr="00945999">
        <w:rPr>
          <w:rFonts w:ascii="Times New Roman" w:hAnsi="Times New Roman" w:cs="Times New Roman"/>
          <w:sz w:val="22"/>
          <w:szCs w:val="22"/>
        </w:rPr>
        <w:t>O consentimento referido nos incisos IV, V, VIII (para muros com altura superior localizados nas divisas laterais e de fundo), IX, X deste artigo deverá ser formalizado por escrito, preferencialmente com firma reconhecida ou acompanhada de documento oficial que comprove a assinatura, com a informação do nome do proprietário do imóvel lindeiro e dos números do lote e da quadra, em conformidade com regulamentação a esta Lei Complementar.</w:t>
      </w:r>
    </w:p>
    <w:bookmarkEnd w:id="7"/>
    <w:p w14:paraId="3E6F3726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45999">
        <w:rPr>
          <w:rFonts w:ascii="Times New Roman" w:hAnsi="Times New Roman" w:cs="Times New Roman"/>
          <w:iCs/>
          <w:sz w:val="22"/>
          <w:szCs w:val="22"/>
        </w:rPr>
        <w:t>§2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A formalização aludida no </w:t>
      </w:r>
      <w:r w:rsidRPr="00945999">
        <w:rPr>
          <w:rFonts w:ascii="Times New Roman" w:hAnsi="Times New Roman" w:cs="Times New Roman"/>
          <w:iCs/>
          <w:sz w:val="22"/>
          <w:szCs w:val="22"/>
        </w:rPr>
        <w:t>§1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deste artigo deverá ser instruída com a cópia da matrícula atualizada do imóvel lindeiro originário da autorização.</w:t>
      </w:r>
      <w:r w:rsidRPr="00945999">
        <w:rPr>
          <w:rFonts w:ascii="Times New Roman" w:hAnsi="Times New Roman" w:cs="Times New Roman"/>
          <w:iCs/>
          <w:sz w:val="22"/>
          <w:szCs w:val="22"/>
        </w:rPr>
        <w:tab/>
      </w:r>
    </w:p>
    <w:p w14:paraId="4BA393AE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bCs/>
          <w:iCs/>
          <w:sz w:val="22"/>
          <w:szCs w:val="22"/>
          <w:u w:val="single"/>
          <w:vertAlign w:val="superscript"/>
        </w:rPr>
      </w:pPr>
      <w:r w:rsidRPr="00945999">
        <w:rPr>
          <w:rFonts w:ascii="Times New Roman" w:hAnsi="Times New Roman" w:cs="Times New Roman"/>
          <w:bCs/>
          <w:iCs/>
          <w:sz w:val="22"/>
          <w:szCs w:val="22"/>
        </w:rPr>
        <w:t>§3</w:t>
      </w:r>
      <w:r w:rsidRPr="00945999">
        <w:rPr>
          <w:rFonts w:ascii="Times New Roman" w:hAnsi="Times New Roman" w:cs="Times New Roman"/>
          <w:bCs/>
          <w:i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Fica dispensada a apresentação do consentimento previsto no </w:t>
      </w:r>
      <w:r w:rsidRPr="00945999">
        <w:rPr>
          <w:rFonts w:ascii="Times New Roman" w:hAnsi="Times New Roman" w:cs="Times New Roman"/>
          <w:bCs/>
          <w:iCs/>
          <w:sz w:val="22"/>
          <w:szCs w:val="22"/>
        </w:rPr>
        <w:t>§1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iCs/>
          <w:sz w:val="22"/>
          <w:szCs w:val="22"/>
        </w:rPr>
        <w:t xml:space="preserve"> deste artigo p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ara as obras referidas no inciso IV e que possuam aberturas confrontantes para muros ou elementos, com altura igual ou superior a </w:t>
      </w:r>
      <w:proofErr w:type="spellStart"/>
      <w:r w:rsidRPr="00945999">
        <w:rPr>
          <w:rFonts w:ascii="Times New Roman" w:hAnsi="Times New Roman" w:cs="Times New Roman"/>
          <w:bCs/>
          <w:sz w:val="22"/>
          <w:szCs w:val="22"/>
        </w:rPr>
        <w:t>contraverga</w:t>
      </w:r>
      <w:proofErr w:type="spellEnd"/>
      <w:r w:rsidRPr="00945999">
        <w:rPr>
          <w:rFonts w:ascii="Times New Roman" w:hAnsi="Times New Roman" w:cs="Times New Roman"/>
          <w:bCs/>
          <w:sz w:val="22"/>
          <w:szCs w:val="22"/>
        </w:rPr>
        <w:t xml:space="preserve"> destas aberturas, e que impeçam a visão ao lote lindeiro, sendo esses muros ou elementos de sua propriedade ou de propriedade do vizinho. </w:t>
      </w:r>
    </w:p>
    <w:p w14:paraId="5D65631C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945999">
        <w:rPr>
          <w:rFonts w:ascii="Times New Roman" w:hAnsi="Times New Roman" w:cs="Times New Roman"/>
          <w:iCs/>
          <w:sz w:val="22"/>
          <w:szCs w:val="22"/>
        </w:rPr>
        <w:t>§4</w:t>
      </w:r>
      <w:r w:rsidRPr="00945999">
        <w:rPr>
          <w:rFonts w:ascii="Times New Roman" w:hAnsi="Times New Roman" w:cs="Times New Roman"/>
          <w:i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O consentimento referido no inciso IV deste artigo fica dispensado se comprovada a existência dos vãos nas edificações, objetos das legalizações, pelo decurso de tempo de ano e dia.</w:t>
      </w:r>
    </w:p>
    <w:p w14:paraId="15980E67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iCs/>
          <w:sz w:val="22"/>
          <w:szCs w:val="22"/>
        </w:rPr>
        <w:t>§5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Nas hipóteses dos incisos VI, VII e XI deste artigo deverá ser formalizado por escrito mediante a apresentação de declaração de ciência, assinada pelo proprietário e pelo responsável técnico, de que o imóvel não atende a legislação e que a legalização não importará em quaisquer responsabilidades adicionais para o </w:t>
      </w:r>
      <w:r w:rsidRPr="00945999">
        <w:rPr>
          <w:rFonts w:ascii="Times New Roman" w:hAnsi="Times New Roman" w:cs="Times New Roman"/>
          <w:iCs/>
          <w:sz w:val="22"/>
          <w:szCs w:val="22"/>
        </w:rPr>
        <w:t>Município de Santa Rosa</w:t>
      </w:r>
      <w:r w:rsidRPr="0094599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6D481C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bCs/>
          <w:iCs/>
          <w:sz w:val="22"/>
          <w:szCs w:val="22"/>
        </w:rPr>
        <w:t>§6</w:t>
      </w:r>
      <w:r w:rsidRPr="00945999">
        <w:rPr>
          <w:rFonts w:ascii="Times New Roman" w:hAnsi="Times New Roman" w:cs="Times New Roman"/>
          <w:bCs/>
          <w:i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Todas as áreas irregulares deverão ser demarcadas e quantificadas em projeto.</w:t>
      </w:r>
    </w:p>
    <w:p w14:paraId="4C74009C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948417B" w14:textId="77777777" w:rsidR="00945999" w:rsidRPr="00945999" w:rsidRDefault="00945999" w:rsidP="00945999">
      <w:pPr>
        <w:jc w:val="center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CAPÍTULO III</w:t>
      </w:r>
    </w:p>
    <w:p w14:paraId="0404D93D" w14:textId="77777777" w:rsidR="00945999" w:rsidRPr="00945999" w:rsidRDefault="00945999" w:rsidP="00945999">
      <w:pPr>
        <w:jc w:val="center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DOS PROCEDIMENTOS E DA(S) MULTA(S) DE LEGALIZAÇÃO</w:t>
      </w:r>
    </w:p>
    <w:p w14:paraId="490EAC90" w14:textId="77777777" w:rsidR="00945999" w:rsidRPr="00945999" w:rsidRDefault="00945999" w:rsidP="00945999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2FEDB04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Art. 4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945999">
        <w:rPr>
          <w:rFonts w:ascii="Times New Roman" w:hAnsi="Times New Roman" w:cs="Times New Roman"/>
          <w:sz w:val="22"/>
          <w:szCs w:val="22"/>
        </w:rPr>
        <w:t>Para todos os casos dispostos no art. 3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desta Lei Complementar, com a finalidade de comprovação de obra consolidada, que se refere o inciso VIII, do art. 2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desta Lei Complementar, devem apresentar, no mínimo, um dos seguintes documentos:</w:t>
      </w:r>
    </w:p>
    <w:p w14:paraId="162505F7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I – </w:t>
      </w:r>
      <w:proofErr w:type="gramStart"/>
      <w:r w:rsidRPr="00945999">
        <w:rPr>
          <w:rFonts w:ascii="Times New Roman" w:hAnsi="Times New Roman" w:cs="Times New Roman"/>
          <w:sz w:val="22"/>
          <w:szCs w:val="22"/>
        </w:rPr>
        <w:t>cópia</w:t>
      </w:r>
      <w:proofErr w:type="gramEnd"/>
      <w:r w:rsidRPr="00945999">
        <w:rPr>
          <w:rFonts w:ascii="Times New Roman" w:hAnsi="Times New Roman" w:cs="Times New Roman"/>
          <w:sz w:val="22"/>
          <w:szCs w:val="22"/>
        </w:rPr>
        <w:t xml:space="preserve"> do Boletim Cadastral Imobiliário (BCI), por unidade, fornecido pela Secretaria Municipal de Administração e Fazenda ou pelo órgão que lhe vier a substituir na estrutura administrativa do Poder Executivo;</w:t>
      </w:r>
    </w:p>
    <w:p w14:paraId="2562A295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II – </w:t>
      </w:r>
      <w:proofErr w:type="gramStart"/>
      <w:r w:rsidRPr="00945999">
        <w:rPr>
          <w:rFonts w:ascii="Times New Roman" w:hAnsi="Times New Roman" w:cs="Times New Roman"/>
          <w:sz w:val="22"/>
          <w:szCs w:val="22"/>
        </w:rPr>
        <w:t>declaração</w:t>
      </w:r>
      <w:proofErr w:type="gramEnd"/>
      <w:r w:rsidRPr="00945999">
        <w:rPr>
          <w:rFonts w:ascii="Times New Roman" w:hAnsi="Times New Roman" w:cs="Times New Roman"/>
          <w:sz w:val="22"/>
          <w:szCs w:val="22"/>
        </w:rPr>
        <w:t xml:space="preserve"> do interessado ou procurador, sob as penas da lei, com firma reconhecida ou assinada por duas testemunhas, na qual deverá ser mencionada expressamente a responsabilidade do declarante pelas informações prestadas, devendo constar expressamente: </w:t>
      </w:r>
    </w:p>
    <w:p w14:paraId="5403FD67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a) que a existência da obra é anterior a data </w:t>
      </w:r>
      <w:r w:rsidRPr="00945999">
        <w:rPr>
          <w:rFonts w:ascii="Times New Roman" w:hAnsi="Times New Roman" w:cs="Times New Roman"/>
          <w:bCs/>
          <w:iCs/>
          <w:sz w:val="22"/>
          <w:szCs w:val="22"/>
        </w:rPr>
        <w:t>da entrada em vigor desta Lei Complementar;</w:t>
      </w:r>
    </w:p>
    <w:p w14:paraId="381D3900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b) o tempo de existência do imóvel; </w:t>
      </w:r>
    </w:p>
    <w:p w14:paraId="54209402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bCs/>
          <w:iCs/>
          <w:sz w:val="22"/>
          <w:szCs w:val="22"/>
        </w:rPr>
        <w:t xml:space="preserve">c) que o declarante assume total </w:t>
      </w:r>
      <w:r w:rsidRPr="00945999">
        <w:rPr>
          <w:rFonts w:ascii="Times New Roman" w:hAnsi="Times New Roman" w:cs="Times New Roman"/>
          <w:sz w:val="22"/>
          <w:szCs w:val="22"/>
        </w:rPr>
        <w:t xml:space="preserve">responsabilidade pela veracidade das informações prestadas. </w:t>
      </w:r>
    </w:p>
    <w:p w14:paraId="6B3CF923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Art. 5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O 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Poder Executivo, com base nos preceitos desta Lei </w:t>
      </w:r>
      <w:r w:rsidRPr="00945999">
        <w:rPr>
          <w:rFonts w:ascii="Times New Roman" w:hAnsi="Times New Roman" w:cs="Times New Roman"/>
          <w:sz w:val="22"/>
          <w:szCs w:val="22"/>
        </w:rPr>
        <w:t>Complementar</w:t>
      </w:r>
      <w:r w:rsidRPr="00945999">
        <w:rPr>
          <w:rFonts w:ascii="Times New Roman" w:hAnsi="Times New Roman" w:cs="Times New Roman"/>
          <w:bCs/>
          <w:sz w:val="22"/>
          <w:szCs w:val="22"/>
        </w:rPr>
        <w:t>, fica autorizado a proceder na análise e, conforme o caso, aprovar e emitir os correspondentes documentos de</w:t>
      </w:r>
      <w:r w:rsidRPr="00945999">
        <w:rPr>
          <w:rFonts w:ascii="Times New Roman" w:hAnsi="Times New Roman" w:cs="Times New Roman"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bCs/>
          <w:sz w:val="22"/>
          <w:szCs w:val="22"/>
        </w:rPr>
        <w:t>legalização, confeccionando e fornecendo</w:t>
      </w:r>
      <w:r w:rsidRPr="00945999">
        <w:rPr>
          <w:rFonts w:ascii="Times New Roman" w:hAnsi="Times New Roman" w:cs="Times New Roman"/>
          <w:sz w:val="22"/>
          <w:szCs w:val="22"/>
        </w:rPr>
        <w:t xml:space="preserve">, conforme o caso, 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os atinentes documentos do </w:t>
      </w:r>
      <w:r w:rsidRPr="00945999">
        <w:rPr>
          <w:rFonts w:ascii="Times New Roman" w:hAnsi="Times New Roman" w:cs="Times New Roman"/>
          <w:sz w:val="22"/>
          <w:szCs w:val="22"/>
        </w:rPr>
        <w:t>alvará de legalização, da carta de habitação e/ou certidão de existência em relação aos imóveis que sejam objeto de pedido de legalização, mediante o recolhimento da multa apurada quando devida.</w:t>
      </w:r>
    </w:p>
    <w:p w14:paraId="1D2E9BCB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bCs/>
          <w:iCs/>
          <w:sz w:val="22"/>
          <w:szCs w:val="22"/>
        </w:rPr>
        <w:t>§1</w:t>
      </w:r>
      <w:r w:rsidRPr="00945999">
        <w:rPr>
          <w:rFonts w:ascii="Times New Roman" w:hAnsi="Times New Roman" w:cs="Times New Roman"/>
          <w:bCs/>
          <w:i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sz w:val="22"/>
          <w:szCs w:val="22"/>
        </w:rPr>
        <w:t>Para fins da efetivação da legalização das edificações referidas nos incisos I, II, VI, IX, X e XI do art. 3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desta Lei Complementar, o Poder Executivo somente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emitirá os atinentes documentos de legalização </w:t>
      </w:r>
      <w:r w:rsidRPr="00945999">
        <w:rPr>
          <w:rFonts w:ascii="Times New Roman" w:hAnsi="Times New Roman" w:cs="Times New Roman"/>
          <w:sz w:val="22"/>
          <w:szCs w:val="22"/>
        </w:rPr>
        <w:t>mediante o</w:t>
      </w:r>
      <w:r w:rsidRPr="0094599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sz w:val="22"/>
          <w:szCs w:val="22"/>
        </w:rPr>
        <w:t xml:space="preserve">pagamento de multa equivalente a importância, em moeda corrente nacional, correspondente a 10% (dez por cento) do custo unitário básico da construção civil ponderado (CUB), do mês de fevereiro de 2009, devidamente atualizado mensalmente pelo Índice Nacional de Custo da Construção–M (INCC-M), da Fundação Getúlio Vargas, por metro quadrado de área construída em desacordo com a legislação anteriormente referida. </w:t>
      </w:r>
    </w:p>
    <w:p w14:paraId="201B854D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bCs/>
          <w:iCs/>
          <w:sz w:val="22"/>
          <w:szCs w:val="22"/>
        </w:rPr>
        <w:t>§2</w:t>
      </w:r>
      <w:r w:rsidRPr="00945999">
        <w:rPr>
          <w:rFonts w:ascii="Times New Roman" w:hAnsi="Times New Roman" w:cs="Times New Roman"/>
          <w:bCs/>
          <w:i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sz w:val="22"/>
          <w:szCs w:val="22"/>
        </w:rPr>
        <w:t>Para fins da efetivação da legalização das edificações referidas no inciso IV do art. 3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desta Lei Complementar, o Poder Executivo somente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emitirá os atinentes documentos de legalização </w:t>
      </w:r>
      <w:r w:rsidRPr="00945999">
        <w:rPr>
          <w:rFonts w:ascii="Times New Roman" w:hAnsi="Times New Roman" w:cs="Times New Roman"/>
          <w:sz w:val="22"/>
          <w:szCs w:val="22"/>
        </w:rPr>
        <w:t>mediante o</w:t>
      </w:r>
      <w:r w:rsidRPr="0094599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sz w:val="22"/>
          <w:szCs w:val="22"/>
        </w:rPr>
        <w:t xml:space="preserve">pagamento de multa equivalente a importância, em moeda corrente nacional, correspondente a 10% (dez por cento) do custo unitário básico da construção civil ponderado (CUB), do mês de fevereiro de 2009, devidamente atualizado mensalmente pelo Índice Nacional de Custo da Construção–M (INCC-M), da Fundação Getúlio Vargas, por metro quadrado de área construída, exclusivamente </w:t>
      </w:r>
      <w:r w:rsidRPr="00945999">
        <w:rPr>
          <w:rFonts w:ascii="Times New Roman" w:hAnsi="Times New Roman" w:cs="Times New Roman"/>
          <w:bCs/>
          <w:iCs/>
          <w:sz w:val="22"/>
          <w:szCs w:val="22"/>
        </w:rPr>
        <w:t xml:space="preserve">em relação a dependência onde a esquadria estiver localizada, </w:t>
      </w:r>
      <w:r w:rsidRPr="00945999">
        <w:rPr>
          <w:rFonts w:ascii="Times New Roman" w:hAnsi="Times New Roman" w:cs="Times New Roman"/>
          <w:sz w:val="22"/>
          <w:szCs w:val="22"/>
        </w:rPr>
        <w:t>em desacordo com a legislação anteriormente referida.</w:t>
      </w:r>
    </w:p>
    <w:p w14:paraId="5AD5AA8C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5999">
        <w:rPr>
          <w:rFonts w:ascii="Times New Roman" w:hAnsi="Times New Roman" w:cs="Times New Roman"/>
          <w:bCs/>
          <w:iCs/>
          <w:sz w:val="22"/>
          <w:szCs w:val="22"/>
        </w:rPr>
        <w:lastRenderedPageBreak/>
        <w:t>§3</w:t>
      </w:r>
      <w:r w:rsidRPr="00945999">
        <w:rPr>
          <w:rFonts w:ascii="Times New Roman" w:hAnsi="Times New Roman" w:cs="Times New Roman"/>
          <w:bCs/>
          <w:i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Para fins da efetivação da legalização das edificações referidas no inciso VIII do art. 3</w:t>
      </w:r>
      <w:r w:rsidRPr="00945999">
        <w:rPr>
          <w:rFonts w:ascii="Times New Roman" w:hAnsi="Times New Roman" w:cs="Times New Roman"/>
          <w:b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desta Lei Complementar, o Poder Executivo somente emitirá os atinentes documentos de legalização mediante o</w:t>
      </w:r>
      <w:r w:rsidRPr="00945999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pagamento de multa equivalente a importância, em moeda corrente nacional, correspondente a 20% (vinte por cento) do custo unitário básico da construção civil ponderado (CUB), do mês de fevereiro de 2009, devidamente atualizado mensalmente pelo Índice Nacional de Custo da Construção–M (INCC-M), da Fundação Getúlio Vargas, exclusivamente </w:t>
      </w:r>
      <w:r w:rsidRPr="00945999">
        <w:rPr>
          <w:rFonts w:ascii="Times New Roman" w:hAnsi="Times New Roman" w:cs="Times New Roman"/>
          <w:bCs/>
          <w:iCs/>
          <w:sz w:val="22"/>
          <w:szCs w:val="22"/>
        </w:rPr>
        <w:t>em relação a metragem quadrada construída, em desacordo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com a legislação anteriormente referida.</w:t>
      </w:r>
    </w:p>
    <w:p w14:paraId="51FC92F4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945999">
        <w:rPr>
          <w:rFonts w:ascii="Times New Roman" w:hAnsi="Times New Roman" w:cs="Times New Roman"/>
          <w:bCs/>
          <w:iCs/>
          <w:sz w:val="22"/>
          <w:szCs w:val="22"/>
        </w:rPr>
        <w:t>§4</w:t>
      </w:r>
      <w:r w:rsidRPr="00945999">
        <w:rPr>
          <w:rFonts w:ascii="Times New Roman" w:hAnsi="Times New Roman" w:cs="Times New Roman"/>
          <w:bCs/>
          <w:i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iCs/>
          <w:sz w:val="22"/>
          <w:szCs w:val="22"/>
        </w:rPr>
        <w:t xml:space="preserve"> Observado o disposto nos parágrafos 1</w:t>
      </w:r>
      <w:r w:rsidRPr="00945999">
        <w:rPr>
          <w:rFonts w:ascii="Times New Roman" w:hAnsi="Times New Roman" w:cs="Times New Roman"/>
          <w:bCs/>
          <w:i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sz w:val="22"/>
          <w:szCs w:val="22"/>
        </w:rPr>
        <w:t>, 2</w:t>
      </w:r>
      <w:r w:rsidRPr="00945999">
        <w:rPr>
          <w:rFonts w:ascii="Times New Roman" w:hAnsi="Times New Roman" w:cs="Times New Roman"/>
          <w:bCs/>
          <w:i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e 3</w:t>
      </w:r>
      <w:r w:rsidRPr="00945999">
        <w:rPr>
          <w:rFonts w:ascii="Times New Roman" w:hAnsi="Times New Roman" w:cs="Times New Roman"/>
          <w:bCs/>
          <w:i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deste artigo, e</w:t>
      </w:r>
      <w:r w:rsidRPr="00945999">
        <w:rPr>
          <w:rFonts w:ascii="Times New Roman" w:hAnsi="Times New Roman" w:cs="Times New Roman"/>
          <w:sz w:val="22"/>
          <w:szCs w:val="22"/>
        </w:rPr>
        <w:t>m relação às obras que estejam localizadas em loteamentos populares, assim definidos em Lei, o Poder Executivo somente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emitirá os atinentes documentos de legalização </w:t>
      </w:r>
      <w:r w:rsidRPr="00945999">
        <w:rPr>
          <w:rFonts w:ascii="Times New Roman" w:hAnsi="Times New Roman" w:cs="Times New Roman"/>
          <w:sz w:val="22"/>
          <w:szCs w:val="22"/>
        </w:rPr>
        <w:t>mediante o</w:t>
      </w:r>
      <w:r w:rsidRPr="0094599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sz w:val="22"/>
          <w:szCs w:val="22"/>
        </w:rPr>
        <w:t>pagamento de multa equivalente a importância, em moeda corrente nacional, correspondente a 5% (cinco por cento) do custo unitário básico da construção civil ponderado  (CUB), do mês de fevereiro de 2009, devidamente atualizado mensalmente pelo Índice Nacional de Custo da Construção–M (INCC-M), da Fundação Getúlio Vargas, por metro quadrado de área construída em desacordo com a legislação anteriormente referida.</w:t>
      </w:r>
    </w:p>
    <w:p w14:paraId="619E692A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8" w:name="__DdeLink__427_1068778488"/>
      <w:bookmarkStart w:id="9" w:name="_Hlk90363708"/>
      <w:r w:rsidRPr="00945999">
        <w:rPr>
          <w:rFonts w:ascii="Times New Roman" w:hAnsi="Times New Roman" w:cs="Times New Roman"/>
          <w:bCs/>
          <w:iCs/>
          <w:sz w:val="22"/>
          <w:szCs w:val="22"/>
        </w:rPr>
        <w:t>§5</w:t>
      </w:r>
      <w:r w:rsidRPr="00945999">
        <w:rPr>
          <w:rFonts w:ascii="Times New Roman" w:hAnsi="Times New Roman" w:cs="Times New Roman"/>
          <w:bCs/>
          <w:iCs/>
          <w:sz w:val="22"/>
          <w:szCs w:val="22"/>
          <w:u w:val="single"/>
          <w:vertAlign w:val="superscript"/>
        </w:rPr>
        <w:t>o</w:t>
      </w:r>
      <w:bookmarkEnd w:id="8"/>
      <w:r w:rsidRPr="0094599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sz w:val="22"/>
          <w:szCs w:val="22"/>
        </w:rPr>
        <w:t>Para fins da efetivação da legalização das edificações referidas nos incisos V, VII e XIII do art. 3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desta Lei Complementar, o Poder Executivo </w:t>
      </w:r>
      <w:r w:rsidRPr="00945999">
        <w:rPr>
          <w:rFonts w:ascii="Times New Roman" w:hAnsi="Times New Roman" w:cs="Times New Roman"/>
          <w:bCs/>
          <w:sz w:val="22"/>
          <w:szCs w:val="22"/>
        </w:rPr>
        <w:t>emitirá os atinentes documentos de legalização sem a aplicação de multa</w:t>
      </w:r>
      <w:r w:rsidRPr="00945999">
        <w:rPr>
          <w:rFonts w:ascii="Times New Roman" w:hAnsi="Times New Roman" w:cs="Times New Roman"/>
          <w:sz w:val="22"/>
          <w:szCs w:val="22"/>
        </w:rPr>
        <w:t>.</w:t>
      </w:r>
    </w:p>
    <w:bookmarkEnd w:id="9"/>
    <w:p w14:paraId="153557E3" w14:textId="77777777" w:rsidR="00945999" w:rsidRPr="00945999" w:rsidRDefault="00945999" w:rsidP="00945999">
      <w:pPr>
        <w:tabs>
          <w:tab w:val="left" w:pos="709"/>
        </w:tabs>
        <w:autoSpaceDE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5999">
        <w:rPr>
          <w:rFonts w:ascii="Times New Roman" w:hAnsi="Times New Roman" w:cs="Times New Roman"/>
          <w:bCs/>
          <w:iCs/>
          <w:sz w:val="22"/>
          <w:szCs w:val="22"/>
        </w:rPr>
        <w:tab/>
        <w:t>§6</w:t>
      </w:r>
      <w:r w:rsidRPr="00945999">
        <w:rPr>
          <w:rFonts w:ascii="Times New Roman" w:hAnsi="Times New Roman" w:cs="Times New Roman"/>
          <w:bCs/>
          <w:i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Em caso de adequação da edificação com a eliminação do fator gerador da(s) multa(s), o proprietário deverá apresentar novo projeto, solicitar nova análise e vistoria da obra, podendo, após certificação do enquadramento na legislação, serem desconsideradas a(s) multa(s) anteriormente fixadas.</w:t>
      </w:r>
    </w:p>
    <w:p w14:paraId="3A795AF5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945999">
        <w:rPr>
          <w:rFonts w:ascii="Times New Roman" w:hAnsi="Times New Roman" w:cs="Times New Roman"/>
          <w:bCs/>
          <w:iCs/>
          <w:sz w:val="22"/>
          <w:szCs w:val="22"/>
        </w:rPr>
        <w:t>§7</w:t>
      </w:r>
      <w:r w:rsidRPr="00945999">
        <w:rPr>
          <w:rFonts w:ascii="Times New Roman" w:hAnsi="Times New Roman" w:cs="Times New Roman"/>
          <w:bCs/>
          <w:i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sz w:val="22"/>
          <w:szCs w:val="22"/>
        </w:rPr>
        <w:t>Para fins da efetivação da legalização das edificações referidas nos incisos III e XII do art. 3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desta Lei Complementar, o Poder Executivo somente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emitirá os atinentes documentos de legalização </w:t>
      </w:r>
      <w:r w:rsidRPr="00945999">
        <w:rPr>
          <w:rFonts w:ascii="Times New Roman" w:hAnsi="Times New Roman" w:cs="Times New Roman"/>
          <w:sz w:val="22"/>
          <w:szCs w:val="22"/>
        </w:rPr>
        <w:t>mediante o</w:t>
      </w:r>
      <w:r w:rsidRPr="0094599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sz w:val="22"/>
          <w:szCs w:val="22"/>
        </w:rPr>
        <w:t xml:space="preserve">pagamento de multa equivalente a importância, em moeda corrente nacional, correspondente a 5% (cinco por cento) do custo unitário básico da construção civil ponderado (CUB), do mês de fevereiro de 2009, devidamente atualizado mensalmente pelo Índice Nacional de Custo da Construção–M (INCC-M), da Fundação Getúlio Vargas, por metro quadrado de área construída em desacordo com a legislação anteriormente referida. </w:t>
      </w:r>
    </w:p>
    <w:p w14:paraId="5CA34B62" w14:textId="77777777" w:rsidR="00945999" w:rsidRPr="00945999" w:rsidRDefault="00945999" w:rsidP="00945999">
      <w:pPr>
        <w:tabs>
          <w:tab w:val="left" w:pos="709"/>
        </w:tabs>
        <w:autoSpaceDE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F8FDB65" w14:textId="77777777" w:rsidR="00945999" w:rsidRPr="00945999" w:rsidRDefault="00945999" w:rsidP="00945999">
      <w:pPr>
        <w:ind w:firstLine="851"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14:paraId="4CE0A801" w14:textId="77777777" w:rsidR="00945999" w:rsidRPr="00945999" w:rsidRDefault="00945999" w:rsidP="00945999">
      <w:pPr>
        <w:jc w:val="center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CAPÍTULO IV</w:t>
      </w:r>
    </w:p>
    <w:p w14:paraId="619A0102" w14:textId="77777777" w:rsidR="00945999" w:rsidRPr="00945999" w:rsidRDefault="00945999" w:rsidP="00945999">
      <w:pPr>
        <w:jc w:val="center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DAS DISPOSIÇÕES FINAIS E TRANSITÓRIAS </w:t>
      </w:r>
    </w:p>
    <w:p w14:paraId="6C2590FA" w14:textId="77777777" w:rsidR="00945999" w:rsidRPr="00945999" w:rsidRDefault="00945999" w:rsidP="00945999">
      <w:pPr>
        <w:ind w:right="1"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837AC32" w14:textId="77777777" w:rsidR="00945999" w:rsidRPr="00945999" w:rsidRDefault="00945999" w:rsidP="00945999">
      <w:pPr>
        <w:ind w:right="1"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Art. 6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O pedido de legalização será analisado pela Secretaria Municipal de Planejamento e Habitação ou pelo órgão que lhe vier a substituir na estrutura administrativa do Poder Executivo, sendo facultado ao setor competente exigir outros documentos durante a instrução do processo administrativo respectivo.  </w:t>
      </w:r>
    </w:p>
    <w:p w14:paraId="0AD5F13B" w14:textId="77777777" w:rsidR="00945999" w:rsidRPr="00945999" w:rsidRDefault="00945999" w:rsidP="00945999">
      <w:pPr>
        <w:ind w:right="1" w:firstLine="709"/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§1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As hipóteses serão examinadas, apontadas, enquadradas ou reenquadradas por ocasião da análise técnica, e, em caso de aplicação de multas, essas serão calculadas em relação a cada infração e computadas de forma cumulativa. </w:t>
      </w:r>
    </w:p>
    <w:p w14:paraId="4C9409AC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5999">
        <w:rPr>
          <w:rFonts w:ascii="Times New Roman" w:hAnsi="Times New Roman" w:cs="Times New Roman"/>
          <w:bCs/>
          <w:iCs/>
          <w:sz w:val="22"/>
          <w:szCs w:val="22"/>
        </w:rPr>
        <w:t>§2</w:t>
      </w:r>
      <w:r w:rsidRPr="00945999">
        <w:rPr>
          <w:rFonts w:ascii="Times New Roman" w:hAnsi="Times New Roman" w:cs="Times New Roman"/>
          <w:bCs/>
          <w:i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sz w:val="22"/>
          <w:szCs w:val="22"/>
        </w:rPr>
        <w:t xml:space="preserve">O Poder Executivo, por intermédio da Secretaria Municipal de Administração e Fazenda ou órgão que lhe vier a substituir na sua estrutura administrativa, destinará 100% (cem por cento) do montante de valores oriundos das multas de que trata esta Lei Complementar ao Fundo Municipal de Habitação, Planejamento e Gestão Participativa de que tratam </w:t>
      </w:r>
      <w:r w:rsidRPr="00945999">
        <w:rPr>
          <w:rFonts w:ascii="Times New Roman" w:hAnsi="Times New Roman" w:cs="Times New Roman"/>
          <w:iCs/>
          <w:sz w:val="22"/>
          <w:szCs w:val="22"/>
        </w:rPr>
        <w:t xml:space="preserve">a </w:t>
      </w:r>
      <w:r w:rsidRPr="00945999">
        <w:rPr>
          <w:rFonts w:ascii="Times New Roman" w:hAnsi="Times New Roman" w:cs="Times New Roman"/>
          <w:sz w:val="22"/>
          <w:szCs w:val="22"/>
        </w:rPr>
        <w:t>Lei Complementar n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118, de 2017, a 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Lei </w:t>
      </w:r>
      <w:r w:rsidRPr="00945999">
        <w:rPr>
          <w:rFonts w:ascii="Times New Roman" w:hAnsi="Times New Roman" w:cs="Times New Roman"/>
          <w:sz w:val="22"/>
          <w:szCs w:val="22"/>
        </w:rPr>
        <w:t>n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bCs/>
          <w:sz w:val="22"/>
          <w:szCs w:val="22"/>
        </w:rPr>
        <w:t>4.557, de 21 de agosto de 2009 e suas alterações.</w:t>
      </w:r>
    </w:p>
    <w:p w14:paraId="5756C097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Art. 7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O Poder Executivo aplicará, conforme a hipótese, as disposições da </w:t>
      </w:r>
      <w:r w:rsidRPr="00945999">
        <w:rPr>
          <w:rFonts w:ascii="Times New Roman" w:hAnsi="Times New Roman" w:cs="Times New Roman"/>
          <w:sz w:val="22"/>
          <w:szCs w:val="22"/>
        </w:rPr>
        <w:t>Lei Federal n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bCs/>
          <w:sz w:val="22"/>
          <w:szCs w:val="22"/>
        </w:rPr>
        <w:t>13.726, de 8 de outubro de 2018, a</w:t>
      </w:r>
      <w:r w:rsidRPr="00945999">
        <w:rPr>
          <w:rFonts w:ascii="Times New Roman" w:hAnsi="Times New Roman" w:cs="Times New Roman"/>
          <w:sz w:val="22"/>
          <w:szCs w:val="22"/>
        </w:rPr>
        <w:t>os documentos e demais expedientes dos processos administrativos relacionados com as ações decorrentes desta Lei Complementar.</w:t>
      </w:r>
    </w:p>
    <w:p w14:paraId="191ABAD0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Art. 8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Será dada ampla publicidade acerca das </w:t>
      </w:r>
      <w:r w:rsidRPr="00945999">
        <w:rPr>
          <w:rFonts w:ascii="Times New Roman" w:hAnsi="Times New Roman" w:cs="Times New Roman"/>
          <w:bCs/>
          <w:sz w:val="22"/>
          <w:szCs w:val="22"/>
        </w:rPr>
        <w:t>normas excepcionais destinadas à legalização de obras</w:t>
      </w:r>
      <w:r w:rsidRPr="0094599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945999">
        <w:rPr>
          <w:rFonts w:ascii="Times New Roman" w:hAnsi="Times New Roman" w:cs="Times New Roman"/>
          <w:bCs/>
          <w:sz w:val="22"/>
          <w:szCs w:val="22"/>
        </w:rPr>
        <w:t>dispostas nesta Lei Complementar, cabendo ao Poder Executivo, por intermédio de seus órgãos, sem prejuízo da adoção de outras ações correlatas, a efetivação das seguintes providências:</w:t>
      </w:r>
    </w:p>
    <w:p w14:paraId="317D8B7D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4599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 – </w:t>
      </w:r>
      <w:proofErr w:type="gramStart"/>
      <w:r w:rsidRPr="00945999">
        <w:rPr>
          <w:rFonts w:ascii="Times New Roman" w:hAnsi="Times New Roman" w:cs="Times New Roman"/>
          <w:sz w:val="22"/>
          <w:szCs w:val="22"/>
          <w:shd w:val="clear" w:color="auto" w:fill="FFFFFF"/>
        </w:rPr>
        <w:t>enviar</w:t>
      </w:r>
      <w:proofErr w:type="gramEnd"/>
      <w:r w:rsidRPr="0094599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informações acerca das disposições desta Lei Complementar aos proprietários dos imóveis identificados como passíveis de legalização;</w:t>
      </w:r>
    </w:p>
    <w:p w14:paraId="385D10A7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45999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 xml:space="preserve">II – </w:t>
      </w:r>
      <w:proofErr w:type="gramStart"/>
      <w:r w:rsidRPr="00945999">
        <w:rPr>
          <w:rFonts w:ascii="Times New Roman" w:hAnsi="Times New Roman" w:cs="Times New Roman"/>
          <w:sz w:val="22"/>
          <w:szCs w:val="22"/>
          <w:shd w:val="clear" w:color="auto" w:fill="FFFFFF"/>
        </w:rPr>
        <w:t>veiculação</w:t>
      </w:r>
      <w:proofErr w:type="gramEnd"/>
      <w:r w:rsidRPr="0094599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de informações nos carnês do Imposto sobre a Propriedade Predial e Territorial Urbana – IPTU;</w:t>
      </w:r>
    </w:p>
    <w:p w14:paraId="6554B321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45999">
        <w:rPr>
          <w:rFonts w:ascii="Times New Roman" w:hAnsi="Times New Roman" w:cs="Times New Roman"/>
          <w:sz w:val="22"/>
          <w:szCs w:val="22"/>
          <w:shd w:val="clear" w:color="auto" w:fill="FFFFFF"/>
        </w:rPr>
        <w:t>III – desenvolvimento de outros tipos de informes publicitários.</w:t>
      </w:r>
    </w:p>
    <w:p w14:paraId="7D68D85E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A41971E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Art. 9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As </w:t>
      </w:r>
      <w:r w:rsidRPr="00945999">
        <w:rPr>
          <w:rFonts w:ascii="Times New Roman" w:hAnsi="Times New Roman" w:cs="Times New Roman"/>
          <w:sz w:val="22"/>
          <w:szCs w:val="22"/>
        </w:rPr>
        <w:t>edificações embargadas pela fiscalização urbanística municipal não estão abrangidas pelas disposições desta Lei Complementar.</w:t>
      </w:r>
    </w:p>
    <w:p w14:paraId="56BA28BF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Art. 10. O Poder Executivo regulamentará, no que couber, esta Lei Complementar.</w:t>
      </w:r>
    </w:p>
    <w:p w14:paraId="7FE235CF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Art. 11. Fica alterado o inciso II do art. 7</w:t>
      </w:r>
      <w:r w:rsidRPr="00945999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sz w:val="22"/>
          <w:szCs w:val="22"/>
        </w:rPr>
        <w:t xml:space="preserve"> da L</w:t>
      </w:r>
      <w:r w:rsidRPr="00945999">
        <w:rPr>
          <w:rFonts w:ascii="Times New Roman" w:hAnsi="Times New Roman" w:cs="Times New Roman"/>
          <w:bCs/>
          <w:sz w:val="22"/>
          <w:szCs w:val="22"/>
        </w:rPr>
        <w:t>ei Complementar n</w:t>
      </w:r>
      <w:r w:rsidRPr="00945999">
        <w:rPr>
          <w:rFonts w:ascii="Times New Roman" w:hAnsi="Times New Roman" w:cs="Times New Roman"/>
          <w:b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bCs/>
          <w:sz w:val="22"/>
          <w:szCs w:val="22"/>
        </w:rPr>
        <w:t xml:space="preserve"> 157, de 15 de julho de 2021</w:t>
      </w:r>
      <w:r w:rsidRPr="00945999">
        <w:rPr>
          <w:rFonts w:ascii="Times New Roman" w:hAnsi="Times New Roman" w:cs="Times New Roman"/>
          <w:sz w:val="22"/>
          <w:szCs w:val="22"/>
        </w:rPr>
        <w:t xml:space="preserve">, passando a vigorar com a seguinte redação: </w:t>
      </w:r>
    </w:p>
    <w:p w14:paraId="24373698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i/>
          <w:iCs/>
          <w:kern w:val="2"/>
          <w:sz w:val="22"/>
          <w:szCs w:val="22"/>
        </w:rPr>
      </w:pPr>
      <w:r w:rsidRPr="00945999">
        <w:rPr>
          <w:rFonts w:ascii="Times New Roman" w:hAnsi="Times New Roman" w:cs="Times New Roman"/>
          <w:bCs/>
          <w:i/>
          <w:sz w:val="22"/>
          <w:szCs w:val="22"/>
        </w:rPr>
        <w:t>“</w:t>
      </w:r>
      <w:r w:rsidRPr="00945999">
        <w:rPr>
          <w:rFonts w:ascii="Times New Roman" w:hAnsi="Times New Roman" w:cs="Times New Roman"/>
          <w:i/>
          <w:iCs/>
          <w:sz w:val="22"/>
          <w:szCs w:val="22"/>
        </w:rPr>
        <w:t>Art. 7</w:t>
      </w:r>
      <w:r w:rsidRPr="00945999">
        <w:rPr>
          <w:rFonts w:ascii="Times New Roman" w:hAnsi="Times New Roman" w:cs="Times New Roman"/>
          <w:i/>
          <w:i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</w:t>
      </w:r>
    </w:p>
    <w:p w14:paraId="75362A60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45999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.........................................................</w:t>
      </w:r>
    </w:p>
    <w:p w14:paraId="3A0497D1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45999">
        <w:rPr>
          <w:rFonts w:ascii="Times New Roman" w:hAnsi="Times New Roman" w:cs="Times New Roman"/>
          <w:i/>
          <w:iCs/>
          <w:sz w:val="22"/>
          <w:szCs w:val="22"/>
        </w:rPr>
        <w:t>II – o restante da área do lote prevista na legislação e destinada a permeabilidade deverá ser preservada, sob pena de multa equivalente a importância, em moeda corrente nacional, correspondente a 10% (dez por cento) do custo unitário básico da construção civil ponderado (CUB), do mês de fevereiro de 2009, devidamente atualizado mensalmente pelo Índice Nacional de Custo da Construção – M (INCC-M), da Fundação Getúlio Vargas,  por metro quadrado não preservado, em desacordo com a Lei Complementar n</w:t>
      </w:r>
      <w:r w:rsidRPr="00945999">
        <w:rPr>
          <w:rFonts w:ascii="Times New Roman" w:hAnsi="Times New Roman" w:cs="Times New Roman"/>
          <w:i/>
          <w:iCs/>
          <w:sz w:val="22"/>
          <w:szCs w:val="22"/>
          <w:u w:val="single"/>
          <w:vertAlign w:val="superscript"/>
        </w:rPr>
        <w:t>o</w:t>
      </w:r>
      <w:r w:rsidRPr="00945999">
        <w:rPr>
          <w:rFonts w:ascii="Times New Roman" w:hAnsi="Times New Roman" w:cs="Times New Roman"/>
          <w:i/>
          <w:iCs/>
          <w:sz w:val="22"/>
          <w:szCs w:val="22"/>
        </w:rPr>
        <w:t xml:space="preserve"> 118, de 2017.</w:t>
      </w:r>
    </w:p>
    <w:p w14:paraId="5D40F8FA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i/>
          <w:iCs/>
          <w:sz w:val="22"/>
          <w:szCs w:val="22"/>
        </w:rPr>
        <w:t xml:space="preserve">........................................................” </w:t>
      </w:r>
      <w:r w:rsidRPr="00945999">
        <w:rPr>
          <w:rFonts w:ascii="Times New Roman" w:hAnsi="Times New Roman" w:cs="Times New Roman"/>
          <w:sz w:val="22"/>
          <w:szCs w:val="22"/>
        </w:rPr>
        <w:t>(NR)</w:t>
      </w:r>
    </w:p>
    <w:p w14:paraId="209C76AC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D8174E2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Art. 12. Fica revogada a Lei n</w:t>
      </w:r>
      <w:r w:rsidRPr="00945999">
        <w:rPr>
          <w:rFonts w:ascii="Times New Roman" w:hAnsi="Times New Roman" w:cs="Times New Roman"/>
          <w:strike/>
          <w:sz w:val="22"/>
          <w:szCs w:val="22"/>
        </w:rPr>
        <w:t>º</w:t>
      </w:r>
      <w:r w:rsidRPr="00945999">
        <w:rPr>
          <w:rFonts w:ascii="Times New Roman" w:hAnsi="Times New Roman" w:cs="Times New Roman"/>
          <w:sz w:val="22"/>
          <w:szCs w:val="22"/>
        </w:rPr>
        <w:t xml:space="preserve"> 5.503, de 20 de maio de 2019. </w:t>
      </w:r>
    </w:p>
    <w:p w14:paraId="5A6DD81E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Parágrafo único. Os processos de legalização de obras protocolados com fundamento na Lei n</w:t>
      </w:r>
      <w:r w:rsidRPr="00945999">
        <w:rPr>
          <w:rFonts w:ascii="Times New Roman" w:hAnsi="Times New Roman" w:cs="Times New Roman"/>
          <w:strike/>
          <w:sz w:val="22"/>
          <w:szCs w:val="22"/>
        </w:rPr>
        <w:t>º</w:t>
      </w:r>
      <w:r w:rsidRPr="00945999">
        <w:rPr>
          <w:rFonts w:ascii="Times New Roman" w:hAnsi="Times New Roman" w:cs="Times New Roman"/>
          <w:sz w:val="22"/>
          <w:szCs w:val="22"/>
        </w:rPr>
        <w:t xml:space="preserve"> 5.503, de 20 de maio de 2019, que estiverem sem análise ou com pendência, mediante requerimento do interessado, poderão fazer uso das disposições desta Lei Complementar, no que couber.</w:t>
      </w:r>
    </w:p>
    <w:p w14:paraId="473F11AC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Art. 13. As despesas decorrentes desta Lei Complementar correrão por conta de dotações orçamentárias próprias do Poder Executivo do Município de Santa Rosa.</w:t>
      </w:r>
    </w:p>
    <w:p w14:paraId="6417EDA2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Art. 14. Esta Lei Complementar entra em vigor na data de sua publicação, vigorando pelo período de 4 (quatro) anos.</w:t>
      </w:r>
    </w:p>
    <w:p w14:paraId="3CA967A3" w14:textId="77777777" w:rsidR="000543E2" w:rsidRPr="00945999" w:rsidRDefault="000543E2" w:rsidP="00945999">
      <w:pPr>
        <w:ind w:firstLine="851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B2F0397" w14:textId="2779F98B" w:rsidR="00543F97" w:rsidRPr="00945999" w:rsidRDefault="00543F97" w:rsidP="00945999">
      <w:pPr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 xml:space="preserve">GABINETE DO PREFEITO MUNICIPAL DE SANTA ROSA, EM </w:t>
      </w:r>
      <w:r w:rsidR="00945999" w:rsidRPr="00945999">
        <w:rPr>
          <w:rFonts w:ascii="Times New Roman" w:hAnsi="Times New Roman" w:cs="Times New Roman"/>
          <w:sz w:val="22"/>
          <w:szCs w:val="22"/>
        </w:rPr>
        <w:t>14 DE MARÇO</w:t>
      </w:r>
      <w:r w:rsidR="00517F0D" w:rsidRPr="00945999">
        <w:rPr>
          <w:rFonts w:ascii="Times New Roman" w:hAnsi="Times New Roman" w:cs="Times New Roman"/>
          <w:sz w:val="22"/>
          <w:szCs w:val="22"/>
        </w:rPr>
        <w:t xml:space="preserve"> DE 2022</w:t>
      </w:r>
      <w:r w:rsidRPr="00945999">
        <w:rPr>
          <w:rFonts w:ascii="Times New Roman" w:hAnsi="Times New Roman" w:cs="Times New Roman"/>
          <w:sz w:val="22"/>
          <w:szCs w:val="22"/>
        </w:rPr>
        <w:t>.</w:t>
      </w:r>
    </w:p>
    <w:p w14:paraId="43C65909" w14:textId="77777777" w:rsidR="00DA4103" w:rsidRPr="00945999" w:rsidRDefault="00DA4103" w:rsidP="00945999">
      <w:pPr>
        <w:ind w:firstLine="851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8A8AC9B" w14:textId="3AA9F286" w:rsidR="00945999" w:rsidRPr="00945999" w:rsidRDefault="00945999" w:rsidP="00945999">
      <w:pPr>
        <w:pStyle w:val="Corpodetexto"/>
        <w:spacing w:after="0"/>
        <w:ind w:firstLine="709"/>
        <w:contextualSpacing/>
        <w:jc w:val="both"/>
        <w:rPr>
          <w:kern w:val="2"/>
          <w:sz w:val="22"/>
          <w:szCs w:val="22"/>
        </w:rPr>
      </w:pPr>
    </w:p>
    <w:p w14:paraId="24C9C903" w14:textId="77777777" w:rsidR="00945999" w:rsidRPr="00945999" w:rsidRDefault="00945999" w:rsidP="00945999">
      <w:pPr>
        <w:pStyle w:val="Corpodetexto"/>
        <w:spacing w:after="0"/>
        <w:ind w:firstLine="709"/>
        <w:contextualSpacing/>
        <w:jc w:val="both"/>
        <w:rPr>
          <w:kern w:val="2"/>
          <w:sz w:val="22"/>
          <w:szCs w:val="22"/>
        </w:rPr>
      </w:pPr>
    </w:p>
    <w:p w14:paraId="09F28224" w14:textId="77777777" w:rsidR="00945999" w:rsidRPr="00945999" w:rsidRDefault="00945999" w:rsidP="00945999">
      <w:pPr>
        <w:ind w:left="5387"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ANDERSON MANTEI,</w:t>
      </w:r>
    </w:p>
    <w:p w14:paraId="37774BA9" w14:textId="77777777" w:rsidR="00945999" w:rsidRPr="00945999" w:rsidRDefault="00945999" w:rsidP="00945999">
      <w:pPr>
        <w:ind w:left="5387" w:firstLine="99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Prefeito Municipal.</w:t>
      </w:r>
    </w:p>
    <w:p w14:paraId="769E6F27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sz w:val="22"/>
          <w:szCs w:val="22"/>
        </w:rPr>
        <w:t>Registre-se e publique-se.</w:t>
      </w:r>
    </w:p>
    <w:p w14:paraId="371B266D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79DF5CC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1EB508C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B7E08F6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5999">
        <w:rPr>
          <w:rFonts w:ascii="Times New Roman" w:hAnsi="Times New Roman" w:cs="Times New Roman"/>
          <w:bCs/>
          <w:sz w:val="22"/>
          <w:szCs w:val="22"/>
        </w:rPr>
        <w:t>ALDEMIR EDUARDO ULRICH,</w:t>
      </w:r>
    </w:p>
    <w:p w14:paraId="5D2ABA2E" w14:textId="77777777" w:rsidR="00945999" w:rsidRPr="00945999" w:rsidRDefault="00945999" w:rsidP="0094599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5999">
        <w:rPr>
          <w:rFonts w:ascii="Times New Roman" w:hAnsi="Times New Roman" w:cs="Times New Roman"/>
          <w:bCs/>
          <w:sz w:val="22"/>
          <w:szCs w:val="22"/>
        </w:rPr>
        <w:t>Vice-Prefeito Municipal.</w:t>
      </w:r>
    </w:p>
    <w:p w14:paraId="734C6170" w14:textId="17F5A0E8" w:rsidR="00A40033" w:rsidRPr="00945999" w:rsidRDefault="00A40033" w:rsidP="0094599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sectPr w:rsidR="00A40033" w:rsidRPr="00945999" w:rsidSect="00517F0D">
      <w:headerReference w:type="default" r:id="rId7"/>
      <w:footerReference w:type="default" r:id="rId8"/>
      <w:pgSz w:w="11906" w:h="16838" w:code="9"/>
      <w:pgMar w:top="851" w:right="1134" w:bottom="794" w:left="1134" w:header="284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01D5" w14:textId="77777777" w:rsidR="00AC78FF" w:rsidRDefault="00AC78FF">
      <w:r>
        <w:separator/>
      </w:r>
    </w:p>
  </w:endnote>
  <w:endnote w:type="continuationSeparator" w:id="0">
    <w:p w14:paraId="517E6EDA" w14:textId="77777777" w:rsidR="00AC78FF" w:rsidRDefault="00AC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363A" w14:textId="77777777" w:rsidR="007A6B3A" w:rsidRDefault="007A6B3A">
    <w:pPr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Centro Administrativo Municipal </w:t>
    </w:r>
    <w:r>
      <w:rPr>
        <w:rFonts w:ascii="Times New Roman" w:eastAsia="Arial" w:hAnsi="Times New Roman" w:cs="Times New Roman"/>
        <w:sz w:val="22"/>
        <w:szCs w:val="22"/>
      </w:rPr>
      <w:t xml:space="preserve">– </w:t>
    </w:r>
    <w:r>
      <w:rPr>
        <w:rFonts w:ascii="Times New Roman" w:hAnsi="Times New Roman" w:cs="Times New Roman"/>
        <w:sz w:val="22"/>
        <w:szCs w:val="22"/>
      </w:rPr>
      <w:t xml:space="preserve">Palácio </w:t>
    </w:r>
    <w:r>
      <w:rPr>
        <w:rFonts w:ascii="Times New Roman" w:hAnsi="Times New Roman" w:cs="Times New Roman"/>
        <w:i/>
        <w:iCs/>
        <w:sz w:val="22"/>
        <w:szCs w:val="22"/>
      </w:rPr>
      <w:t xml:space="preserve">“14 de </w:t>
    </w:r>
    <w:proofErr w:type="gramStart"/>
    <w:r>
      <w:rPr>
        <w:rFonts w:ascii="Times New Roman" w:hAnsi="Times New Roman" w:cs="Times New Roman"/>
        <w:i/>
        <w:iCs/>
        <w:sz w:val="22"/>
        <w:szCs w:val="22"/>
      </w:rPr>
      <w:t>Julho</w:t>
    </w:r>
    <w:proofErr w:type="gramEnd"/>
    <w:r>
      <w:rPr>
        <w:rFonts w:ascii="Times New Roman" w:hAnsi="Times New Roman" w:cs="Times New Roman"/>
        <w:i/>
        <w:iCs/>
        <w:sz w:val="22"/>
        <w:szCs w:val="22"/>
      </w:rPr>
      <w:t>”</w:t>
    </w:r>
  </w:p>
  <w:p w14:paraId="2A100565" w14:textId="77777777" w:rsidR="007A6B3A" w:rsidRDefault="007A6B3A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Av.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Expedicionário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Weber,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2983</w:t>
    </w:r>
    <w:r>
      <w:rPr>
        <w:rFonts w:eastAsia="Arial"/>
        <w:sz w:val="22"/>
        <w:szCs w:val="22"/>
      </w:rPr>
      <w:t xml:space="preserve"> – </w:t>
    </w:r>
    <w:r>
      <w:rPr>
        <w:sz w:val="22"/>
        <w:szCs w:val="22"/>
      </w:rPr>
      <w:t>CEP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98789-000</w:t>
    </w:r>
    <w:r>
      <w:rPr>
        <w:rFonts w:eastAsia="Arial"/>
        <w:sz w:val="22"/>
        <w:szCs w:val="22"/>
      </w:rPr>
      <w:t xml:space="preserve"> – </w:t>
    </w:r>
    <w:r>
      <w:rPr>
        <w:sz w:val="22"/>
        <w:szCs w:val="22"/>
      </w:rPr>
      <w:t>Santa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Rosa</w:t>
    </w:r>
    <w:r>
      <w:rPr>
        <w:rFonts w:eastAsia="Arial"/>
        <w:sz w:val="22"/>
        <w:szCs w:val="22"/>
      </w:rPr>
      <w:t xml:space="preserve"> – </w:t>
    </w:r>
    <w:r>
      <w:rPr>
        <w:sz w:val="22"/>
        <w:szCs w:val="22"/>
      </w:rPr>
      <w:t>RS</w:t>
    </w:r>
  </w:p>
  <w:p w14:paraId="43ABC19E" w14:textId="77777777" w:rsidR="007A6B3A" w:rsidRDefault="007A6B3A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Fone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(55)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3511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5100</w:t>
    </w:r>
    <w:r>
      <w:rPr>
        <w:rFonts w:eastAsia="Arial"/>
        <w:sz w:val="22"/>
        <w:szCs w:val="22"/>
      </w:rPr>
      <w:t xml:space="preserve"> – </w:t>
    </w:r>
    <w:r>
      <w:rPr>
        <w:sz w:val="22"/>
        <w:szCs w:val="22"/>
      </w:rPr>
      <w:t>Fax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(55)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3511</w:t>
    </w:r>
    <w:r>
      <w:rPr>
        <w:rFonts w:eastAsia="Arial"/>
        <w:sz w:val="22"/>
        <w:szCs w:val="22"/>
      </w:rPr>
      <w:t xml:space="preserve"> </w:t>
    </w:r>
    <w:r>
      <w:rPr>
        <w:sz w:val="22"/>
        <w:szCs w:val="22"/>
      </w:rPr>
      <w:t>7621</w:t>
    </w:r>
  </w:p>
  <w:p w14:paraId="2F2FA0A4" w14:textId="77777777" w:rsidR="00552169" w:rsidRPr="00552169" w:rsidRDefault="00552169">
    <w:pPr>
      <w:pStyle w:val="Rodap"/>
      <w:jc w:val="center"/>
      <w:rPr>
        <w:b/>
        <w:i/>
      </w:rPr>
    </w:pPr>
    <w:r w:rsidRPr="00552169">
      <w:rPr>
        <w:b/>
        <w:i/>
        <w:sz w:val="20"/>
      </w:rPr>
      <w:t>"DOE ÓRGÃOS, DOE SANGUE: SALVE VIDAS"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5C56" w14:textId="77777777" w:rsidR="00AC78FF" w:rsidRDefault="00AC78FF">
      <w:r>
        <w:separator/>
      </w:r>
    </w:p>
  </w:footnote>
  <w:footnote w:type="continuationSeparator" w:id="0">
    <w:p w14:paraId="5714C38B" w14:textId="77777777" w:rsidR="00AC78FF" w:rsidRDefault="00AC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7532" w14:textId="036F7373" w:rsidR="006E5986" w:rsidRPr="005607D3" w:rsidRDefault="00543F97" w:rsidP="006E5986">
    <w:pPr>
      <w:pStyle w:val="Cabealho"/>
      <w:jc w:val="center"/>
      <w:rPr>
        <w:sz w:val="20"/>
      </w:rPr>
    </w:pPr>
    <w:r>
      <w:rPr>
        <w:noProof/>
        <w:sz w:val="16"/>
        <w:lang w:eastAsia="pt-BR"/>
      </w:rPr>
      <w:drawing>
        <wp:anchor distT="0" distB="0" distL="114935" distR="114935" simplePos="0" relativeHeight="251658240" behindDoc="0" locked="0" layoutInCell="1" allowOverlap="1" wp14:anchorId="37D83787" wp14:editId="21281E5A">
          <wp:simplePos x="0" y="0"/>
          <wp:positionH relativeFrom="margin">
            <wp:posOffset>2762250</wp:posOffset>
          </wp:positionH>
          <wp:positionV relativeFrom="paragraph">
            <wp:posOffset>28685</wp:posOffset>
          </wp:positionV>
          <wp:extent cx="506095" cy="622935"/>
          <wp:effectExtent l="0" t="0" r="8255" b="571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622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986" w:rsidRPr="005607D3">
      <w:rPr>
        <w:sz w:val="20"/>
      </w:rPr>
      <w:t>MUNICÍPIO</w:t>
    </w:r>
    <w:r w:rsidR="006E5986" w:rsidRPr="005607D3">
      <w:rPr>
        <w:rFonts w:eastAsia="Arial"/>
        <w:sz w:val="20"/>
      </w:rPr>
      <w:t xml:space="preserve"> </w:t>
    </w:r>
    <w:r w:rsidR="006E5986" w:rsidRPr="005607D3">
      <w:rPr>
        <w:sz w:val="20"/>
      </w:rPr>
      <w:t>DE</w:t>
    </w:r>
    <w:r w:rsidR="006E5986" w:rsidRPr="005607D3">
      <w:rPr>
        <w:rFonts w:eastAsia="Arial"/>
        <w:sz w:val="20"/>
      </w:rPr>
      <w:t xml:space="preserve"> </w:t>
    </w:r>
    <w:r w:rsidR="006E5986" w:rsidRPr="005607D3">
      <w:rPr>
        <w:sz w:val="20"/>
      </w:rPr>
      <w:t>SANTA</w:t>
    </w:r>
    <w:r w:rsidR="006E5986" w:rsidRPr="005607D3">
      <w:rPr>
        <w:rFonts w:eastAsia="Arial"/>
        <w:sz w:val="20"/>
      </w:rPr>
      <w:t xml:space="preserve"> </w:t>
    </w:r>
    <w:r w:rsidR="006E5986" w:rsidRPr="005607D3">
      <w:rPr>
        <w:sz w:val="20"/>
      </w:rPr>
      <w:t>ROSA</w:t>
    </w:r>
  </w:p>
  <w:p w14:paraId="439FBD34" w14:textId="77777777" w:rsidR="007A6B3A" w:rsidRPr="006E5986" w:rsidRDefault="006E5986" w:rsidP="006E5986">
    <w:pPr>
      <w:pStyle w:val="Cabealho"/>
      <w:contextualSpacing/>
      <w:jc w:val="center"/>
    </w:pPr>
    <w:r w:rsidRPr="00E85E3E">
      <w:rPr>
        <w:b/>
        <w:sz w:val="20"/>
      </w:rPr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CA5DD6"/>
    <w:multiLevelType w:val="hybridMultilevel"/>
    <w:tmpl w:val="7BC0196A"/>
    <w:lvl w:ilvl="0" w:tplc="3710C3E4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auto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9B3451"/>
    <w:multiLevelType w:val="hybridMultilevel"/>
    <w:tmpl w:val="C0588D72"/>
    <w:lvl w:ilvl="0" w:tplc="40C2D0A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05A5"/>
    <w:rsid w:val="000543E2"/>
    <w:rsid w:val="000737B2"/>
    <w:rsid w:val="00087F30"/>
    <w:rsid w:val="000B14F2"/>
    <w:rsid w:val="000D1D17"/>
    <w:rsid w:val="00103DD5"/>
    <w:rsid w:val="0011512D"/>
    <w:rsid w:val="00135F66"/>
    <w:rsid w:val="0016186B"/>
    <w:rsid w:val="00172A27"/>
    <w:rsid w:val="0017406E"/>
    <w:rsid w:val="00174DD5"/>
    <w:rsid w:val="0019088C"/>
    <w:rsid w:val="001A0071"/>
    <w:rsid w:val="001A5396"/>
    <w:rsid w:val="001C2E10"/>
    <w:rsid w:val="001E5B52"/>
    <w:rsid w:val="001F2F7E"/>
    <w:rsid w:val="00206C90"/>
    <w:rsid w:val="0023026F"/>
    <w:rsid w:val="0023368A"/>
    <w:rsid w:val="00247F9A"/>
    <w:rsid w:val="00252BBC"/>
    <w:rsid w:val="00272FBD"/>
    <w:rsid w:val="00282685"/>
    <w:rsid w:val="0029249E"/>
    <w:rsid w:val="002C0CD0"/>
    <w:rsid w:val="002E18DF"/>
    <w:rsid w:val="002E4FC4"/>
    <w:rsid w:val="00306CFD"/>
    <w:rsid w:val="0031226E"/>
    <w:rsid w:val="00342338"/>
    <w:rsid w:val="003469F1"/>
    <w:rsid w:val="0035755E"/>
    <w:rsid w:val="00390D46"/>
    <w:rsid w:val="003B0720"/>
    <w:rsid w:val="003B1F2A"/>
    <w:rsid w:val="003B57B0"/>
    <w:rsid w:val="003C023C"/>
    <w:rsid w:val="003C0536"/>
    <w:rsid w:val="003C4B67"/>
    <w:rsid w:val="003D0090"/>
    <w:rsid w:val="003F03FD"/>
    <w:rsid w:val="00427681"/>
    <w:rsid w:val="004446D6"/>
    <w:rsid w:val="00445622"/>
    <w:rsid w:val="00466A51"/>
    <w:rsid w:val="004A387E"/>
    <w:rsid w:val="004C17DD"/>
    <w:rsid w:val="004C37F4"/>
    <w:rsid w:val="004C76A2"/>
    <w:rsid w:val="004D5191"/>
    <w:rsid w:val="004E19E2"/>
    <w:rsid w:val="004E1D38"/>
    <w:rsid w:val="00505022"/>
    <w:rsid w:val="00517F0D"/>
    <w:rsid w:val="00521BCB"/>
    <w:rsid w:val="0052508F"/>
    <w:rsid w:val="00534ACA"/>
    <w:rsid w:val="00534ED7"/>
    <w:rsid w:val="0053571B"/>
    <w:rsid w:val="00543F97"/>
    <w:rsid w:val="00552169"/>
    <w:rsid w:val="005624C9"/>
    <w:rsid w:val="00565CBB"/>
    <w:rsid w:val="00571181"/>
    <w:rsid w:val="00576D50"/>
    <w:rsid w:val="00577904"/>
    <w:rsid w:val="00581434"/>
    <w:rsid w:val="005B29DD"/>
    <w:rsid w:val="005C07C9"/>
    <w:rsid w:val="005E6C57"/>
    <w:rsid w:val="006079DE"/>
    <w:rsid w:val="00637840"/>
    <w:rsid w:val="00643196"/>
    <w:rsid w:val="00653EE8"/>
    <w:rsid w:val="0065400A"/>
    <w:rsid w:val="0065488B"/>
    <w:rsid w:val="006731AC"/>
    <w:rsid w:val="00686672"/>
    <w:rsid w:val="0069751D"/>
    <w:rsid w:val="006A4101"/>
    <w:rsid w:val="006C150E"/>
    <w:rsid w:val="006C1D76"/>
    <w:rsid w:val="006C32A4"/>
    <w:rsid w:val="006D10E9"/>
    <w:rsid w:val="006E5986"/>
    <w:rsid w:val="007054F0"/>
    <w:rsid w:val="00707E81"/>
    <w:rsid w:val="0071252B"/>
    <w:rsid w:val="00717174"/>
    <w:rsid w:val="007216FA"/>
    <w:rsid w:val="007353C6"/>
    <w:rsid w:val="00755341"/>
    <w:rsid w:val="007652F5"/>
    <w:rsid w:val="007736A0"/>
    <w:rsid w:val="0079434D"/>
    <w:rsid w:val="007A6B3A"/>
    <w:rsid w:val="007A7C17"/>
    <w:rsid w:val="007B3577"/>
    <w:rsid w:val="007D36E5"/>
    <w:rsid w:val="007D6B57"/>
    <w:rsid w:val="00811BA0"/>
    <w:rsid w:val="0084584C"/>
    <w:rsid w:val="0086088A"/>
    <w:rsid w:val="00862AA8"/>
    <w:rsid w:val="00882D43"/>
    <w:rsid w:val="008A344A"/>
    <w:rsid w:val="008A610D"/>
    <w:rsid w:val="008C5FAB"/>
    <w:rsid w:val="008F0866"/>
    <w:rsid w:val="008F0B8D"/>
    <w:rsid w:val="008F1558"/>
    <w:rsid w:val="00905B6F"/>
    <w:rsid w:val="00905F09"/>
    <w:rsid w:val="00906C8D"/>
    <w:rsid w:val="00912706"/>
    <w:rsid w:val="00915271"/>
    <w:rsid w:val="00934D92"/>
    <w:rsid w:val="00942CB0"/>
    <w:rsid w:val="00944489"/>
    <w:rsid w:val="00945999"/>
    <w:rsid w:val="009553F4"/>
    <w:rsid w:val="0098111A"/>
    <w:rsid w:val="009A37B0"/>
    <w:rsid w:val="009D6398"/>
    <w:rsid w:val="009D6641"/>
    <w:rsid w:val="009E154A"/>
    <w:rsid w:val="009F3030"/>
    <w:rsid w:val="00A040E9"/>
    <w:rsid w:val="00A12A48"/>
    <w:rsid w:val="00A134C3"/>
    <w:rsid w:val="00A162A4"/>
    <w:rsid w:val="00A40033"/>
    <w:rsid w:val="00A46C19"/>
    <w:rsid w:val="00A71340"/>
    <w:rsid w:val="00A7221F"/>
    <w:rsid w:val="00A922A0"/>
    <w:rsid w:val="00AB1555"/>
    <w:rsid w:val="00AC70B0"/>
    <w:rsid w:val="00AC78FF"/>
    <w:rsid w:val="00AF4A9C"/>
    <w:rsid w:val="00B02D3D"/>
    <w:rsid w:val="00B12C6B"/>
    <w:rsid w:val="00B21D42"/>
    <w:rsid w:val="00B22CBB"/>
    <w:rsid w:val="00B35425"/>
    <w:rsid w:val="00B57BA3"/>
    <w:rsid w:val="00B70840"/>
    <w:rsid w:val="00B71AEA"/>
    <w:rsid w:val="00B8074A"/>
    <w:rsid w:val="00BA1351"/>
    <w:rsid w:val="00BA1A02"/>
    <w:rsid w:val="00BA2D6D"/>
    <w:rsid w:val="00BA36B0"/>
    <w:rsid w:val="00BB4F85"/>
    <w:rsid w:val="00BE0F03"/>
    <w:rsid w:val="00BF6F80"/>
    <w:rsid w:val="00C57C4D"/>
    <w:rsid w:val="00C612FC"/>
    <w:rsid w:val="00C9281C"/>
    <w:rsid w:val="00C96E92"/>
    <w:rsid w:val="00CA4A38"/>
    <w:rsid w:val="00CA61D1"/>
    <w:rsid w:val="00CA62A0"/>
    <w:rsid w:val="00CB28E0"/>
    <w:rsid w:val="00CB409E"/>
    <w:rsid w:val="00CC2E7B"/>
    <w:rsid w:val="00CC50BF"/>
    <w:rsid w:val="00CF72D4"/>
    <w:rsid w:val="00D17325"/>
    <w:rsid w:val="00D20178"/>
    <w:rsid w:val="00D34BFA"/>
    <w:rsid w:val="00D61728"/>
    <w:rsid w:val="00D80651"/>
    <w:rsid w:val="00D91002"/>
    <w:rsid w:val="00DA4103"/>
    <w:rsid w:val="00DC5E9B"/>
    <w:rsid w:val="00DC7645"/>
    <w:rsid w:val="00DE1045"/>
    <w:rsid w:val="00DE3C1C"/>
    <w:rsid w:val="00DF0E04"/>
    <w:rsid w:val="00E13AEE"/>
    <w:rsid w:val="00E6182E"/>
    <w:rsid w:val="00E74D88"/>
    <w:rsid w:val="00E842CA"/>
    <w:rsid w:val="00E91C39"/>
    <w:rsid w:val="00ED35FD"/>
    <w:rsid w:val="00ED4D21"/>
    <w:rsid w:val="00EE0077"/>
    <w:rsid w:val="00EF3EFC"/>
    <w:rsid w:val="00F059FD"/>
    <w:rsid w:val="00F160AE"/>
    <w:rsid w:val="00F164B1"/>
    <w:rsid w:val="00F575D8"/>
    <w:rsid w:val="00F60C0D"/>
    <w:rsid w:val="00F64E39"/>
    <w:rsid w:val="00F66049"/>
    <w:rsid w:val="00FA1C93"/>
    <w:rsid w:val="00FB15DA"/>
    <w:rsid w:val="00FB567D"/>
    <w:rsid w:val="00FC26FC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4:docId w14:val="58B89AF0"/>
  <w14:defaultImageDpi w14:val="0"/>
  <w15:docId w15:val="{CD499E66-04E6-4FF7-A1DF-1CF06DD6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kern w:val="1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 w:cs="Times New Roman"/>
      <w:b/>
      <w:bCs/>
      <w:szCs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 w:cs="Times New Roman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u w:val="single"/>
    </w:rPr>
  </w:style>
  <w:style w:type="character" w:customStyle="1" w:styleId="Fontepargpadro7">
    <w:name w:val="Fonte parág. padrão7"/>
    <w:rPr>
      <w:rFonts w:ascii="Times New Roman" w:eastAsia="Times New Roman" w:hAnsi="Times New Roman" w:cs="Times New Roman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rFonts w:ascii="Times New Roman" w:eastAsia="Times New Roman" w:hAnsi="Times New Roman" w:cs="Times New Roman"/>
    </w:rPr>
  </w:style>
  <w:style w:type="character" w:customStyle="1" w:styleId="WW8Num1z4">
    <w:name w:val="WW8Num1z4"/>
    <w:rPr>
      <w:rFonts w:ascii="Times New Roman" w:eastAsia="Times New Roman" w:hAnsi="Times New Roman" w:cs="Times New Roman"/>
    </w:rPr>
  </w:style>
  <w:style w:type="character" w:customStyle="1" w:styleId="WW8Num1z5">
    <w:name w:val="WW8Num1z5"/>
    <w:rPr>
      <w:rFonts w:ascii="Times New Roman" w:eastAsia="Times New Roman" w:hAnsi="Times New Roman" w:cs="Times New Roman"/>
    </w:rPr>
  </w:style>
  <w:style w:type="character" w:customStyle="1" w:styleId="WW8Num1z6">
    <w:name w:val="WW8Num1z6"/>
    <w:rPr>
      <w:rFonts w:ascii="Times New Roman" w:eastAsia="Times New Roman" w:hAnsi="Times New Roman" w:cs="Times New Roman"/>
    </w:rPr>
  </w:style>
  <w:style w:type="character" w:customStyle="1" w:styleId="WW8Num1z7">
    <w:name w:val="WW8Num1z7"/>
    <w:rPr>
      <w:rFonts w:ascii="Times New Roman" w:eastAsia="Times New Roman" w:hAnsi="Times New Roman" w:cs="Times New Roman"/>
    </w:rPr>
  </w:style>
  <w:style w:type="character" w:customStyle="1" w:styleId="WW8Num1z8">
    <w:name w:val="WW8Num1z8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Times New Roman" w:eastAsia="Times New Roman" w:hAnsi="Times New Roman" w:cs="Times New Roman"/>
    </w:rPr>
  </w:style>
  <w:style w:type="character" w:customStyle="1" w:styleId="WW8Num2z3">
    <w:name w:val="WW8Num2z3"/>
    <w:rPr>
      <w:rFonts w:ascii="Times New Roman" w:eastAsia="Times New Roman" w:hAnsi="Times New Roman" w:cs="Times New Roman"/>
    </w:rPr>
  </w:style>
  <w:style w:type="character" w:customStyle="1" w:styleId="WW8Num2z4">
    <w:name w:val="WW8Num2z4"/>
    <w:rPr>
      <w:rFonts w:ascii="Times New Roman" w:eastAsia="Times New Roman" w:hAnsi="Times New Roman" w:cs="Times New Roman"/>
    </w:rPr>
  </w:style>
  <w:style w:type="character" w:customStyle="1" w:styleId="WW8Num2z5">
    <w:name w:val="WW8Num2z5"/>
    <w:rPr>
      <w:rFonts w:ascii="Times New Roman" w:eastAsia="Times New Roman" w:hAnsi="Times New Roman" w:cs="Times New Roman"/>
    </w:rPr>
  </w:style>
  <w:style w:type="character" w:customStyle="1" w:styleId="WW8Num2z6">
    <w:name w:val="WW8Num2z6"/>
    <w:rPr>
      <w:rFonts w:ascii="Times New Roman" w:eastAsia="Times New Roman" w:hAnsi="Times New Roman" w:cs="Times New Roman"/>
    </w:rPr>
  </w:style>
  <w:style w:type="character" w:customStyle="1" w:styleId="WW8Num2z7">
    <w:name w:val="WW8Num2z7"/>
    <w:rPr>
      <w:rFonts w:ascii="Times New Roman" w:eastAsia="Times New Roman" w:hAnsi="Times New Roman" w:cs="Times New Roman"/>
    </w:rPr>
  </w:style>
  <w:style w:type="character" w:customStyle="1" w:styleId="WW8Num2z8">
    <w:name w:val="WW8Num2z8"/>
    <w:rPr>
      <w:rFonts w:ascii="Times New Roman" w:eastAsia="Times New Roman" w:hAnsi="Times New Roman" w:cs="Times New Roman"/>
    </w:rPr>
  </w:style>
  <w:style w:type="character" w:customStyle="1" w:styleId="Fontepargpadro6">
    <w:name w:val="Fonte parág. padrão6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 w:cs="Times New Roman"/>
    </w:rPr>
  </w:style>
  <w:style w:type="character" w:customStyle="1" w:styleId="Fontepargpadro5">
    <w:name w:val="Fonte parág. padrão5"/>
    <w:rPr>
      <w:rFonts w:ascii="Times New Roman" w:eastAsia="Times New Roman" w:hAnsi="Times New Roman" w:cs="Times New Roman"/>
    </w:rPr>
  </w:style>
  <w:style w:type="character" w:customStyle="1" w:styleId="Fontepargpadro4">
    <w:name w:val="Fonte parág. padrão4"/>
    <w:rPr>
      <w:rFonts w:ascii="Times New Roman" w:eastAsia="Times New Roman" w:hAnsi="Times New Roman" w:cs="Times New Roman"/>
    </w:rPr>
  </w:style>
  <w:style w:type="character" w:customStyle="1" w:styleId="Fontepargpadro3">
    <w:name w:val="Fonte parág. padrão3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</w:rPr>
  </w:style>
  <w:style w:type="character" w:customStyle="1" w:styleId="WW8Num6z0">
    <w:name w:val="WW8Num6z0"/>
    <w:rPr>
      <w:rFonts w:ascii="Arial" w:eastAsia="Times New Roman" w:hAnsi="Arial" w:cs="Arial"/>
      <w:b/>
    </w:rPr>
  </w:style>
  <w:style w:type="character" w:customStyle="1" w:styleId="Fontepargpadro1">
    <w:name w:val="Fonte parág. padrão1"/>
    <w:rPr>
      <w:rFonts w:ascii="Times New Roman" w:eastAsia="Times New Roman" w:hAnsi="Times New Roman" w:cs="Times New Roman"/>
    </w:rPr>
  </w:style>
  <w:style w:type="character" w:customStyle="1" w:styleId="Refdecomentrio1">
    <w:name w:val="Ref. de comentário1"/>
    <w:rPr>
      <w:rFonts w:ascii="Times New Roman" w:eastAsia="Times New Roman" w:hAnsi="Times New Roman" w:cs="Times New Roman"/>
      <w:sz w:val="16"/>
    </w:rPr>
  </w:style>
  <w:style w:type="character" w:customStyle="1" w:styleId="Smbolosdenumerao">
    <w:name w:val="Símbolos de numeração"/>
    <w:rPr>
      <w:rFonts w:ascii="Times New Roman" w:eastAsia="Times New Roman" w:hAnsi="Times New Roman" w:cs="Times New Roman"/>
    </w:rPr>
  </w:style>
  <w:style w:type="character" w:customStyle="1" w:styleId="badgebadge-important">
    <w:name w:val="badge badge-important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kern w:val="1"/>
      <w:sz w:val="26"/>
      <w:szCs w:val="26"/>
      <w:lang w:eastAsia="zh-CN"/>
    </w:rPr>
  </w:style>
  <w:style w:type="character" w:customStyle="1" w:styleId="CabealhoChar">
    <w:name w:val="Cabeçalho Char"/>
    <w:rPr>
      <w:rFonts w:ascii="Arial" w:eastAsia="Times New Roman" w:hAnsi="Arial" w:cs="Arial"/>
      <w:kern w:val="1"/>
      <w:sz w:val="24"/>
      <w:lang w:eastAsia="zh-C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Bodytext4">
    <w:name w:val="Body text (4)_"/>
    <w:rPr>
      <w:rFonts w:ascii="Arial" w:eastAsia="Arial" w:hAnsi="Arial" w:cs="Arial"/>
      <w:b/>
      <w:bCs/>
      <w:i/>
      <w:iCs/>
      <w:caps w:val="0"/>
      <w:smallCaps w:val="0"/>
      <w:u w:val="none"/>
    </w:rPr>
  </w:style>
  <w:style w:type="character" w:customStyle="1" w:styleId="Bodytext40">
    <w:name w:val="Body text (4)"/>
    <w:rPr>
      <w:rFonts w:ascii="Arial" w:eastAsia="Arial" w:hAnsi="Arial" w:cs="Arial"/>
      <w:b/>
      <w:bCs/>
      <w:i/>
      <w:iCs/>
      <w:caps w:val="0"/>
      <w:smallCaps w:val="0"/>
      <w:color w:val="000000"/>
      <w:spacing w:val="0"/>
      <w:w w:val="100"/>
      <w:position w:val="0"/>
      <w:sz w:val="24"/>
      <w:szCs w:val="24"/>
      <w:u w:val="none"/>
      <w:vertAlign w:val="baseline"/>
      <w:lang w:val="pt-PT" w:bidi="pt-PT"/>
    </w:rPr>
  </w:style>
  <w:style w:type="character" w:customStyle="1" w:styleId="Bodytext5">
    <w:name w:val="Body text (5)_"/>
    <w:rPr>
      <w:rFonts w:ascii="Arial" w:eastAsia="Arial" w:hAnsi="Arial" w:cs="Arial"/>
      <w:b w:val="0"/>
      <w:bCs w:val="0"/>
      <w:i w:val="0"/>
      <w:iCs w:val="0"/>
      <w:caps w:val="0"/>
      <w:smallCaps w:val="0"/>
      <w:u w:val="none"/>
    </w:rPr>
  </w:style>
  <w:style w:type="character" w:customStyle="1" w:styleId="Bodytext5105ptBold">
    <w:name w:val="Body text (5) + 10.5 pt;Bold"/>
    <w:rPr>
      <w:rFonts w:ascii="Arial" w:eastAsia="Arial" w:hAnsi="Arial" w:cs="Arial"/>
      <w:b/>
      <w:bCs/>
      <w:i w:val="0"/>
      <w:iCs w:val="0"/>
      <w:caps w:val="0"/>
      <w:smallCaps w:val="0"/>
      <w:color w:val="000000"/>
      <w:spacing w:val="0"/>
      <w:w w:val="100"/>
      <w:position w:val="0"/>
      <w:sz w:val="21"/>
      <w:szCs w:val="21"/>
      <w:u w:val="none"/>
      <w:vertAlign w:val="baseline"/>
      <w:lang w:val="pt-PT" w:bidi="pt-PT"/>
    </w:rPr>
  </w:style>
  <w:style w:type="character" w:customStyle="1" w:styleId="Bodytext50">
    <w:name w:val="Body text (5)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4"/>
      <w:szCs w:val="24"/>
      <w:u w:val="none"/>
      <w:vertAlign w:val="baseline"/>
      <w:lang w:val="pt-PT" w:bidi="pt-PT"/>
    </w:rPr>
  </w:style>
  <w:style w:type="character" w:customStyle="1" w:styleId="Bodytext3Exact">
    <w:name w:val="Body text (3) Exact"/>
    <w:rPr>
      <w:rFonts w:ascii="Times New Roman" w:eastAsia="Times New Roman" w:hAnsi="Times New Roman" w:cs="Times New Roman"/>
    </w:rPr>
  </w:style>
  <w:style w:type="character" w:customStyle="1" w:styleId="Heading2Exact">
    <w:name w:val="Heading #2 Exact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Bodytext3">
    <w:name w:val="Body text (3)_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styleId="Corpodetexto">
    <w:name w:val="Body Text"/>
    <w:basedOn w:val="Normal"/>
    <w:pPr>
      <w:spacing w:after="120"/>
    </w:pPr>
    <w:rPr>
      <w:rFonts w:ascii="Times New Roman" w:hAnsi="Times New Roman" w:cs="Times New Roman"/>
    </w:rPr>
  </w:style>
  <w:style w:type="paragraph" w:customStyle="1" w:styleId="Ttulo70">
    <w:name w:val="Título7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Lista">
    <w:name w:val="List"/>
    <w:basedOn w:val="Normal"/>
    <w:pPr>
      <w:ind w:left="283" w:hanging="283"/>
    </w:pPr>
    <w:rPr>
      <w:rFonts w:ascii="Times New Roman" w:hAnsi="Times New Roman" w:cs="Times New Roman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ascii="Times New Roman" w:hAnsi="Times New Roman" w:cs="Mangal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pPr>
      <w:ind w:left="1260" w:firstLine="360"/>
      <w:jc w:val="both"/>
    </w:pPr>
    <w:rPr>
      <w:rFonts w:ascii="Times New Roman" w:hAnsi="Times New Roman" w:cs="Times New Roman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32">
    <w:name w:val="Corpo de texto 32"/>
    <w:basedOn w:val="Normal"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WW-Padro">
    <w:name w:val="WW-Padrão"/>
    <w:pPr>
      <w:suppressAutoHyphens/>
      <w:autoSpaceDE w:val="0"/>
    </w:pPr>
    <w:rPr>
      <w:kern w:val="1"/>
      <w:szCs w:val="24"/>
      <w:lang w:eastAsia="zh-CN"/>
    </w:rPr>
  </w:style>
  <w:style w:type="paragraph" w:customStyle="1" w:styleId="Corpodetexto21">
    <w:name w:val="Corpo de texto 21"/>
    <w:basedOn w:val="Normal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  <w:rPr>
      <w:rFonts w:ascii="Times New Roman" w:hAnsi="Times New Roman" w:cs="Times New Roman"/>
    </w:rPr>
  </w:style>
  <w:style w:type="paragraph" w:customStyle="1" w:styleId="Textodecomentrio1">
    <w:name w:val="Texto de comentário1"/>
    <w:basedOn w:val="Normal"/>
    <w:rPr>
      <w:rFonts w:ascii="Times New Roman" w:hAnsi="Times New Roman" w:cs="Times New Roman"/>
      <w:sz w:val="20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customStyle="1" w:styleId="Corpodetexto31">
    <w:name w:val="Corpo de texto 31"/>
    <w:basedOn w:val="Normal"/>
    <w:pPr>
      <w:autoSpaceDE w:val="0"/>
      <w:spacing w:line="360" w:lineRule="auto"/>
      <w:jc w:val="both"/>
    </w:pPr>
    <w:rPr>
      <w:rFonts w:ascii="Times New Roman" w:hAnsi="Times New Roman" w:cs="Times New Roman"/>
      <w:bCs/>
      <w:color w:val="000000"/>
    </w:rPr>
  </w:style>
  <w:style w:type="paragraph" w:customStyle="1" w:styleId="WW-Padro1">
    <w:name w:val="WW-Padrão1"/>
    <w:pPr>
      <w:suppressAutoHyphens/>
      <w:autoSpaceDE w:val="0"/>
    </w:pPr>
    <w:rPr>
      <w:kern w:val="1"/>
      <w:szCs w:val="24"/>
      <w:lang w:eastAsia="zh-CN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hAnsi="Calibri" w:cs="Calibri"/>
      <w:color w:val="000000"/>
      <w:sz w:val="22"/>
      <w:lang w:val="es-AR"/>
    </w:rPr>
  </w:style>
  <w:style w:type="paragraph" w:styleId="NormalWeb">
    <w:name w:val="Normal (Web)"/>
    <w:basedOn w:val="Normal"/>
    <w:pPr>
      <w:suppressAutoHyphens w:val="0"/>
    </w:pPr>
    <w:rPr>
      <w:rFonts w:ascii="Times New Roman" w:hAnsi="Times New Roman" w:cs="Times New Roman"/>
      <w:szCs w:val="24"/>
    </w:rPr>
  </w:style>
  <w:style w:type="paragraph" w:customStyle="1" w:styleId="Normal1">
    <w:name w:val="Normal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Bodytext30">
    <w:name w:val="Body text (3)"/>
    <w:basedOn w:val="Normal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Arial" w:hAnsi="Times New Roman" w:cs="Times New Roman"/>
      <w:b/>
      <w:bCs/>
      <w:sz w:val="21"/>
      <w:szCs w:val="21"/>
    </w:rPr>
  </w:style>
  <w:style w:type="paragraph" w:customStyle="1" w:styleId="Heading2">
    <w:name w:val="Heading #2"/>
    <w:basedOn w:val="Normal"/>
    <w:pPr>
      <w:widowControl w:val="0"/>
      <w:shd w:val="clear" w:color="auto" w:fill="FFFFFF"/>
      <w:suppressAutoHyphens w:val="0"/>
      <w:spacing w:before="60" w:line="0" w:lineRule="atLeast"/>
    </w:pPr>
    <w:rPr>
      <w:rFonts w:ascii="Times New Roman" w:eastAsia="Arial" w:hAnsi="Times New Roman" w:cs="Times New Roman"/>
      <w:b/>
      <w:bCs/>
      <w:sz w:val="26"/>
      <w:szCs w:val="26"/>
    </w:rPr>
  </w:style>
  <w:style w:type="paragraph" w:customStyle="1" w:styleId="Corpodetexto22">
    <w:name w:val="Corpo de texto 22"/>
    <w:basedOn w:val="Normal"/>
    <w:pPr>
      <w:suppressAutoHyphens w:val="0"/>
      <w:overflowPunct w:val="0"/>
      <w:autoSpaceDE w:val="0"/>
      <w:ind w:left="2832" w:firstLine="3"/>
      <w:jc w:val="both"/>
      <w:textAlignment w:val="baseline"/>
    </w:pPr>
    <w:rPr>
      <w:rFonts w:ascii="Times New Roman" w:hAnsi="Times New Roman" w:cs="Times New Roman"/>
      <w:b/>
    </w:rPr>
  </w:style>
  <w:style w:type="paragraph" w:customStyle="1" w:styleId="Recuodecorpodetexto22">
    <w:name w:val="Recuo de corpo de texto 22"/>
    <w:basedOn w:val="Normal"/>
    <w:pPr>
      <w:suppressAutoHyphens w:val="0"/>
      <w:overflowPunct w:val="0"/>
      <w:autoSpaceDE w:val="0"/>
      <w:ind w:left="851" w:hanging="851"/>
      <w:jc w:val="both"/>
      <w:textAlignment w:val="baseline"/>
    </w:pPr>
    <w:rPr>
      <w:rFonts w:ascii="Times New Roman" w:hAnsi="Times New Roman" w:cs="Times New Roman"/>
    </w:rPr>
  </w:style>
  <w:style w:type="paragraph" w:customStyle="1" w:styleId="Recuodecorpodetexto32">
    <w:name w:val="Recuo de corpo de texto 32"/>
    <w:basedOn w:val="Normal"/>
    <w:pPr>
      <w:ind w:firstLine="708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3">
    <w:name w:val="Corpo de texto 23"/>
    <w:basedOn w:val="Normal"/>
    <w:rsid w:val="00686672"/>
    <w:pPr>
      <w:overflowPunct w:val="0"/>
      <w:autoSpaceDE w:val="0"/>
      <w:ind w:left="1418" w:hanging="1418"/>
      <w:jc w:val="both"/>
    </w:pPr>
    <w:rPr>
      <w:rFonts w:ascii="Century Schoolbook" w:hAnsi="Century Schoolbook" w:cs="Century Schoolbook"/>
      <w:kern w:val="0"/>
    </w:rPr>
  </w:style>
  <w:style w:type="paragraph" w:customStyle="1" w:styleId="Corpodetexto24">
    <w:name w:val="Corpo de texto 24"/>
    <w:basedOn w:val="Normal"/>
    <w:rsid w:val="00643196"/>
    <w:pPr>
      <w:overflowPunct w:val="0"/>
      <w:autoSpaceDE w:val="0"/>
      <w:ind w:left="1418" w:hanging="1418"/>
      <w:jc w:val="both"/>
    </w:pPr>
    <w:rPr>
      <w:rFonts w:ascii="Century Schoolbook" w:hAnsi="Century Schoolbook" w:cs="Century Schoolbook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2790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 148, DE 22 DE JULHO DE 2009</vt:lpstr>
    </vt:vector>
  </TitlesOfParts>
  <Company/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 148, DE 22 DE JULHO DE 2009</dc:title>
  <dc:creator>PGM</dc:creator>
  <cp:lastModifiedBy>Jurídico</cp:lastModifiedBy>
  <cp:revision>2</cp:revision>
  <cp:lastPrinted>2022-02-11T11:28:00Z</cp:lastPrinted>
  <dcterms:created xsi:type="dcterms:W3CDTF">2022-03-14T17:55:00Z</dcterms:created>
  <dcterms:modified xsi:type="dcterms:W3CDTF">2022-03-14T17:55:00Z</dcterms:modified>
</cp:coreProperties>
</file>