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before="0" w:after="0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 w:cs="Times New Roman"/>
          <w:bCs/>
          <w:kern w:val="0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LEI COMPLEMENTAR N</w:t>
      </w:r>
      <w:r>
        <w:rPr>
          <w:rFonts w:cs="Times New Roman" w:ascii="Times New Roman" w:hAnsi="Times New Roman"/>
          <w:sz w:val="23"/>
          <w:szCs w:val="23"/>
          <w:u w:val="single"/>
          <w:vertAlign w:val="superscript"/>
        </w:rPr>
        <w:t>o</w:t>
      </w:r>
      <w:r>
        <w:rPr>
          <w:rFonts w:cs="Times New Roman" w:ascii="Times New Roman" w:hAnsi="Times New Roman"/>
          <w:sz w:val="23"/>
          <w:szCs w:val="23"/>
        </w:rPr>
        <w:t xml:space="preserve"> 157, DE 15 DE JULHO DE 2021.</w:t>
      </w:r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cs="Times New Roman"/>
          <w:bCs/>
          <w:sz w:val="23"/>
          <w:szCs w:val="23"/>
        </w:rPr>
      </w:pPr>
      <w:r>
        <w:rPr>
          <w:rFonts w:cs="Times New Roman" w:ascii="Times New Roman" w:hAnsi="Times New Roman"/>
          <w:bCs/>
          <w:sz w:val="23"/>
          <w:szCs w:val="23"/>
        </w:rPr>
      </w:r>
    </w:p>
    <w:p>
      <w:pPr>
        <w:pStyle w:val="Normal"/>
        <w:spacing w:before="0" w:after="0"/>
        <w:ind w:left="4678" w:hanging="0"/>
        <w:contextualSpacing/>
        <w:jc w:val="both"/>
        <w:rPr>
          <w:rFonts w:ascii="Times New Roman" w:hAnsi="Times New Roman" w:cs="Times New Roman"/>
          <w:bCs/>
          <w:kern w:val="2"/>
          <w:sz w:val="21"/>
          <w:szCs w:val="21"/>
        </w:rPr>
      </w:pPr>
      <w:r>
        <w:rPr>
          <w:rFonts w:cs="Times New Roman" w:ascii="Times New Roman" w:hAnsi="Times New Roman"/>
          <w:bCs/>
          <w:sz w:val="21"/>
          <w:szCs w:val="21"/>
        </w:rPr>
        <w:t xml:space="preserve">Estabelece, em caráter extraordinário, normas excepcionais destinadas à </w:t>
      </w:r>
      <w:bookmarkStart w:id="0" w:name="_GoBack"/>
      <w:r>
        <w:rPr>
          <w:rFonts w:cs="Times New Roman" w:ascii="Times New Roman" w:hAnsi="Times New Roman"/>
          <w:bCs/>
          <w:sz w:val="21"/>
          <w:szCs w:val="21"/>
        </w:rPr>
        <w:t xml:space="preserve">legalização </w:t>
      </w:r>
      <w:r>
        <w:rPr>
          <w:rFonts w:cs="Times New Roman" w:ascii="Times New Roman" w:hAnsi="Times New Roman"/>
          <w:sz w:val="21"/>
          <w:szCs w:val="21"/>
          <w:lang w:eastAsia="pt-BR"/>
        </w:rPr>
        <w:t xml:space="preserve">de imóveis que possuam obras, em situação consolidada, ocupando parte do passeio público </w:t>
      </w:r>
      <w:bookmarkEnd w:id="0"/>
      <w:r>
        <w:rPr>
          <w:rFonts w:cs="Times New Roman" w:ascii="Times New Roman" w:hAnsi="Times New Roman"/>
          <w:sz w:val="21"/>
          <w:szCs w:val="21"/>
        </w:rPr>
        <w:t>em desacordo com a legislação urbanística; e,</w:t>
      </w:r>
      <w:r>
        <w:rPr>
          <w:rFonts w:cs="Times New Roman" w:ascii="Times New Roman" w:hAnsi="Times New Roman"/>
          <w:bCs/>
          <w:sz w:val="21"/>
          <w:szCs w:val="21"/>
        </w:rPr>
        <w:t xml:space="preserve"> </w:t>
      </w:r>
      <w:bookmarkStart w:id="1" w:name="_Hlk76047331"/>
      <w:r>
        <w:rPr>
          <w:rFonts w:cs="Times New Roman" w:ascii="Times New Roman" w:hAnsi="Times New Roman"/>
          <w:bCs/>
          <w:sz w:val="21"/>
          <w:szCs w:val="21"/>
        </w:rPr>
        <w:t>dispõe sobre critérios de regularização de imóveis em relação à taxa de permeabilidade com reaproveitamento de águas pluviais</w:t>
      </w:r>
      <w:bookmarkEnd w:id="1"/>
      <w:r>
        <w:rPr>
          <w:rFonts w:cs="Times New Roman" w:ascii="Times New Roman" w:hAnsi="Times New Roman"/>
          <w:bCs/>
          <w:sz w:val="21"/>
          <w:szCs w:val="21"/>
        </w:rPr>
        <w:t xml:space="preserve">, e dá outras providências. </w:t>
      </w:r>
    </w:p>
    <w:p>
      <w:pPr>
        <w:pStyle w:val="Normal"/>
        <w:spacing w:before="0" w:after="0"/>
        <w:ind w:left="5670" w:hanging="0"/>
        <w:contextualSpacing/>
        <w:jc w:val="both"/>
        <w:rPr>
          <w:rFonts w:ascii="Times New Roman" w:hAnsi="Times New Roman" w:cs="Times New Roman"/>
          <w:spacing w:val="-5"/>
          <w:sz w:val="23"/>
          <w:szCs w:val="23"/>
          <w:lang w:val="pt-PT"/>
        </w:rPr>
      </w:pPr>
      <w:r>
        <w:rPr>
          <w:rFonts w:cs="Times New Roman" w:ascii="Times New Roman" w:hAnsi="Times New Roman"/>
          <w:spacing w:val="-5"/>
          <w:sz w:val="23"/>
          <w:szCs w:val="23"/>
          <w:lang w:val="pt-PT"/>
        </w:rPr>
      </w:r>
    </w:p>
    <w:p>
      <w:pPr>
        <w:pStyle w:val="Normal"/>
        <w:ind w:firstLine="851"/>
        <w:jc w:val="both"/>
        <w:rPr>
          <w:rFonts w:ascii="Times New Roman" w:hAnsi="Times New Roman" w:cs="Times New Roman"/>
          <w:kern w:val="0"/>
          <w:sz w:val="23"/>
          <w:szCs w:val="23"/>
        </w:rPr>
      </w:pPr>
      <w:r>
        <w:rPr>
          <w:rFonts w:cs="Times New Roman" w:ascii="Times New Roman" w:hAnsi="Times New Roman"/>
          <w:kern w:val="0"/>
          <w:sz w:val="23"/>
          <w:szCs w:val="23"/>
        </w:rPr>
        <w:t>O PREFEITO MUNICIPAL DE SANTA ROSA, Estado do Rio Grande do Sul, no uso das atribuições que lhe são conferidas pela Lei Orgânica Municipal, artigo 55,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FAZ SABER que a Câmara de Vereadores aprovou e eu sanciono a seguinte Lei Complementar: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jc w:val="center"/>
        <w:rPr>
          <w:rFonts w:ascii="Times New Roman" w:hAnsi="Times New Roman" w:cs="Times New Roman"/>
          <w:kern w:val="2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  <w:lang w:eastAsia="pt-BR"/>
        </w:rPr>
        <w:t>CAPÍTULO I</w:t>
      </w:r>
    </w:p>
    <w:p>
      <w:pPr>
        <w:pStyle w:val="Normal"/>
        <w:jc w:val="center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  <w:lang w:eastAsia="pt-BR"/>
        </w:rPr>
        <w:t>DISPOSIÇÕES GERAIS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  <w:lang w:eastAsia="pt-BR"/>
        </w:rPr>
      </w:r>
    </w:p>
    <w:p>
      <w:pPr>
        <w:pStyle w:val="Normal"/>
        <w:ind w:firstLine="851"/>
        <w:jc w:val="both"/>
        <w:rPr>
          <w:rFonts w:ascii="Times New Roman" w:hAnsi="Times New Roman" w:cs="Times New Roman"/>
          <w:iCs/>
          <w:sz w:val="22"/>
          <w:szCs w:val="22"/>
        </w:rPr>
      </w:pPr>
      <w:bookmarkStart w:id="2" w:name="_Hlk74746199"/>
      <w:r>
        <w:rPr>
          <w:rFonts w:cs="Times New Roman" w:ascii="Times New Roman" w:hAnsi="Times New Roman"/>
          <w:sz w:val="22"/>
          <w:szCs w:val="22"/>
        </w:rPr>
        <w:t>Art. 1</w:t>
      </w:r>
      <w:r>
        <w:rPr>
          <w:rFonts w:cs="Times New Roman" w:ascii="Times New Roman" w:hAnsi="Times New Roman"/>
          <w:bCs/>
          <w:sz w:val="22"/>
          <w:szCs w:val="22"/>
          <w:u w:val="single"/>
          <w:vertAlign w:val="superscript"/>
        </w:rPr>
        <w:t>o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bookmarkEnd w:id="2"/>
      <w:r>
        <w:rPr>
          <w:rFonts w:cs="Times New Roman" w:ascii="Times New Roman" w:hAnsi="Times New Roman"/>
          <w:bCs/>
          <w:sz w:val="22"/>
          <w:szCs w:val="22"/>
        </w:rPr>
        <w:t xml:space="preserve">Ficam estabelecidas, em caráter extraordinário, nos termos desta Lei Complementar, normas excepcionais destinadas à legalização </w:t>
      </w:r>
      <w:r>
        <w:rPr>
          <w:rFonts w:cs="Times New Roman" w:ascii="Times New Roman" w:hAnsi="Times New Roman"/>
          <w:sz w:val="22"/>
          <w:szCs w:val="22"/>
          <w:lang w:eastAsia="pt-BR"/>
        </w:rPr>
        <w:t xml:space="preserve">de imóveis que possuam obras, em situação consolidada, ocupando parte do passeio público, </w:t>
      </w:r>
      <w:r>
        <w:rPr>
          <w:rFonts w:cs="Times New Roman" w:ascii="Times New Roman" w:hAnsi="Times New Roman"/>
          <w:sz w:val="22"/>
          <w:szCs w:val="22"/>
        </w:rPr>
        <w:t>em desacordo com a Lei Complementar n</w:t>
      </w:r>
      <w:r>
        <w:rPr>
          <w:rFonts w:cs="Times New Roman" w:ascii="Times New Roman" w:hAnsi="Times New Roman"/>
          <w:sz w:val="22"/>
          <w:szCs w:val="22"/>
          <w:u w:val="single"/>
          <w:vertAlign w:val="superscript"/>
        </w:rPr>
        <w:t>o</w:t>
      </w:r>
      <w:r>
        <w:rPr>
          <w:rFonts w:cs="Times New Roman" w:ascii="Times New Roman" w:hAnsi="Times New Roman"/>
          <w:sz w:val="22"/>
          <w:szCs w:val="22"/>
        </w:rPr>
        <w:t xml:space="preserve"> 58, de 12 de abril de 2010, que i</w:t>
      </w:r>
      <w:r>
        <w:rPr>
          <w:rFonts w:cs="Times New Roman" w:ascii="Times New Roman" w:hAnsi="Times New Roman"/>
          <w:iCs/>
          <w:sz w:val="22"/>
          <w:szCs w:val="22"/>
        </w:rPr>
        <w:t xml:space="preserve">nstitui o Código de Obras do Município de Santa Rosa e suas alterações, a </w:t>
      </w:r>
      <w:r>
        <w:rPr>
          <w:rFonts w:cs="Times New Roman" w:ascii="Times New Roman" w:hAnsi="Times New Roman"/>
          <w:sz w:val="22"/>
          <w:szCs w:val="22"/>
        </w:rPr>
        <w:t>Lei Complementar n</w:t>
      </w:r>
      <w:r>
        <w:rPr>
          <w:rFonts w:cs="Times New Roman" w:ascii="Times New Roman" w:hAnsi="Times New Roman"/>
          <w:sz w:val="22"/>
          <w:szCs w:val="22"/>
          <w:u w:val="single"/>
          <w:vertAlign w:val="superscript"/>
        </w:rPr>
        <w:t>o</w:t>
      </w:r>
      <w:r>
        <w:rPr>
          <w:rFonts w:cs="Times New Roman" w:ascii="Times New Roman" w:hAnsi="Times New Roman"/>
          <w:sz w:val="22"/>
          <w:szCs w:val="22"/>
        </w:rPr>
        <w:t xml:space="preserve"> 118, de 28 de agosto de 2017, que i</w:t>
      </w:r>
      <w:r>
        <w:rPr>
          <w:rFonts w:cs="Times New Roman" w:ascii="Times New Roman" w:hAnsi="Times New Roman"/>
          <w:iCs/>
          <w:sz w:val="22"/>
          <w:szCs w:val="22"/>
        </w:rPr>
        <w:t>nstitui o Plano Diretor Participativo de Desenvolvimento Sustentável do Município de Santa Rosa</w:t>
      </w:r>
      <w:bookmarkStart w:id="3" w:name="_Hlk73541489"/>
      <w:r>
        <w:rPr>
          <w:rFonts w:cs="Times New Roman" w:ascii="Times New Roman" w:hAnsi="Times New Roman"/>
          <w:iCs/>
          <w:sz w:val="22"/>
          <w:szCs w:val="22"/>
        </w:rPr>
        <w:t xml:space="preserve"> e suas alterações</w:t>
      </w:r>
      <w:bookmarkEnd w:id="3"/>
      <w:r>
        <w:rPr>
          <w:rFonts w:cs="Times New Roman" w:ascii="Times New Roman" w:hAnsi="Times New Roman"/>
          <w:iCs/>
          <w:sz w:val="22"/>
          <w:szCs w:val="22"/>
        </w:rPr>
        <w:t xml:space="preserve">, e, </w:t>
      </w:r>
      <w:r>
        <w:rPr>
          <w:rFonts w:cs="Times New Roman" w:ascii="Times New Roman" w:hAnsi="Times New Roman"/>
          <w:sz w:val="22"/>
          <w:szCs w:val="22"/>
        </w:rPr>
        <w:t>demais leis urbanísticas aplicáveis.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bCs/>
          <w:iCs/>
          <w:sz w:val="22"/>
          <w:szCs w:val="22"/>
        </w:rPr>
        <w:t xml:space="preserve">Parágrafo único. </w:t>
      </w:r>
      <w:r>
        <w:rPr>
          <w:rFonts w:cs="Times New Roman" w:ascii="Times New Roman" w:hAnsi="Times New Roman"/>
          <w:sz w:val="22"/>
          <w:szCs w:val="22"/>
          <w:lang w:eastAsia="pt-BR"/>
        </w:rPr>
        <w:t>As ações abarcadas pelas normas de legalização aludidas no </w:t>
      </w:r>
      <w:r>
        <w:rPr>
          <w:rFonts w:cs="Times New Roman" w:ascii="Times New Roman" w:hAnsi="Times New Roman"/>
          <w:i/>
          <w:iCs/>
          <w:sz w:val="22"/>
          <w:szCs w:val="22"/>
          <w:lang w:eastAsia="pt-BR"/>
        </w:rPr>
        <w:t>caput</w:t>
      </w:r>
      <w:r>
        <w:rPr>
          <w:rFonts w:cs="Times New Roman" w:ascii="Times New Roman" w:hAnsi="Times New Roman"/>
          <w:sz w:val="22"/>
          <w:szCs w:val="22"/>
          <w:lang w:eastAsia="pt-BR"/>
        </w:rPr>
        <w:t> deste artigo consistem na análise e, conforme o caso, aprovação, emissão e fornecimento pelo Poder Executivo, dos documentos concernentes, do alvará de legalização, da carta de habitação e/ou certidão de existência, em relação aos imóveis que possuam obras executadas em desacordo com os parâmetros e gabaritos delimitados na legislação aplicável, desde que cumpridos os requisitos e condições dispostos nesta Lei Complementar.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</w:rPr>
        <w:t>Art. 2</w:t>
      </w:r>
      <w:r>
        <w:rPr>
          <w:rFonts w:cs="Times New Roman" w:ascii="Times New Roman" w:hAnsi="Times New Roman"/>
          <w:bCs/>
          <w:sz w:val="22"/>
          <w:szCs w:val="22"/>
          <w:u w:val="single"/>
          <w:vertAlign w:val="superscript"/>
        </w:rPr>
        <w:t>o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  <w:lang w:eastAsia="pt-BR"/>
        </w:rPr>
        <w:t>Para fins de aplicação nesta Lei Complementar, serão adotadas as seguintes definições: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bCs/>
          <w:iCs/>
          <w:sz w:val="22"/>
          <w:szCs w:val="22"/>
        </w:rPr>
        <w:t xml:space="preserve">I – edificações: são obras destinadas ao uso de habitação, comércio, prestação de serviços ou industrial; </w:t>
      </w:r>
      <w:bookmarkStart w:id="4" w:name="_Hlk74746541"/>
      <w:bookmarkEnd w:id="4"/>
    </w:p>
    <w:p>
      <w:pPr>
        <w:pStyle w:val="Normal"/>
        <w:ind w:firstLine="851"/>
        <w:jc w:val="both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  <w:lang w:eastAsia="pt-BR"/>
        </w:rPr>
        <w:t>II – obras: todas as construções, edificações, reformas, recuperações ou ampliações, elementos de fechamento de terreno (</w:t>
      </w:r>
      <w:bookmarkStart w:id="5" w:name="_Hlk74208809"/>
      <w:r>
        <w:rPr>
          <w:rFonts w:cs="Times New Roman" w:ascii="Times New Roman" w:hAnsi="Times New Roman"/>
          <w:sz w:val="22"/>
          <w:szCs w:val="22"/>
          <w:lang w:eastAsia="pt-BR"/>
        </w:rPr>
        <w:t>muros, muretas, muretas de entrada de energia/água, cercas, grades e similares)</w:t>
      </w:r>
      <w:bookmarkEnd w:id="5"/>
      <w:r>
        <w:rPr>
          <w:rFonts w:cs="Times New Roman" w:ascii="Times New Roman" w:hAnsi="Times New Roman"/>
          <w:sz w:val="22"/>
          <w:szCs w:val="22"/>
          <w:lang w:eastAsia="pt-BR"/>
        </w:rPr>
        <w:t>, e que sejam consideradas consolidadas na forma desta Lei Complementar;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cs="Times New Roman" w:ascii="Times New Roman" w:hAnsi="Times New Roman"/>
          <w:bCs/>
          <w:iCs/>
          <w:sz w:val="22"/>
          <w:szCs w:val="22"/>
        </w:rPr>
        <w:t>III – obras consolidadas: aquelas que apresentarem comprovação de existência até o início da entrada em vigência desta Lei Complementar;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  <w:lang w:eastAsia="pt-BR"/>
        </w:rPr>
        <w:t xml:space="preserve">IV – taxa de permeabilidade: corresponde </w:t>
      </w:r>
      <w:r>
        <w:rPr>
          <w:rFonts w:cs="Times New Roman" w:ascii="Times New Roman" w:hAnsi="Times New Roman"/>
          <w:sz w:val="22"/>
          <w:szCs w:val="22"/>
        </w:rPr>
        <w:t>a relação percentual entre a área do terreno ou imóvel livre de qualquer construção ou edificação recoberta com vegetação e a área total do lote, terreno ou gleba</w:t>
      </w:r>
      <w:r>
        <w:rPr>
          <w:rFonts w:cs="Times New Roman" w:ascii="Times New Roman" w:hAnsi="Times New Roman"/>
          <w:sz w:val="22"/>
          <w:szCs w:val="22"/>
          <w:lang w:eastAsia="pt-BR"/>
        </w:rPr>
        <w:t>, para a garantia da permeabilidade do solo, observado o art. 200 e seus parágrafos da Lei Complementar n</w:t>
      </w:r>
      <w:r>
        <w:rPr>
          <w:rFonts w:cs="Times New Roman" w:ascii="Times New Roman" w:hAnsi="Times New Roman"/>
          <w:strike/>
          <w:sz w:val="22"/>
          <w:szCs w:val="22"/>
          <w:lang w:eastAsia="pt-BR"/>
        </w:rPr>
        <w:t>º</w:t>
      </w:r>
      <w:r>
        <w:rPr>
          <w:rFonts w:cs="Times New Roman" w:ascii="Times New Roman" w:hAnsi="Times New Roman"/>
          <w:sz w:val="22"/>
          <w:szCs w:val="22"/>
          <w:lang w:eastAsia="pt-BR"/>
        </w:rPr>
        <w:t xml:space="preserve"> 118, de 2017.</w:t>
      </w:r>
    </w:p>
    <w:p>
      <w:pPr>
        <w:pStyle w:val="Normal"/>
        <w:jc w:val="center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  <w:lang w:eastAsia="pt-BR"/>
        </w:rPr>
      </w:r>
    </w:p>
    <w:p>
      <w:pPr>
        <w:pStyle w:val="Normal"/>
        <w:jc w:val="center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  <w:lang w:eastAsia="pt-BR"/>
        </w:rPr>
        <w:t>CAPÍTULO II</w:t>
      </w:r>
    </w:p>
    <w:p>
      <w:pPr>
        <w:pStyle w:val="Normal"/>
        <w:jc w:val="center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  <w:lang w:eastAsia="pt-BR"/>
        </w:rPr>
        <w:t xml:space="preserve">DAS HIPÓTESES DE ENQUADRAMENTO, </w:t>
      </w:r>
    </w:p>
    <w:p>
      <w:pPr>
        <w:pStyle w:val="Normal"/>
        <w:jc w:val="center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  <w:lang w:eastAsia="pt-BR"/>
        </w:rPr>
        <w:t xml:space="preserve">CONDIÇÕES E REQUISITOS À LEGALIZAÇÃO DE IMÓVEIS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  <w:lang w:eastAsia="pt-BR"/>
        </w:rPr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2"/>
          <w:szCs w:val="22"/>
          <w:lang w:eastAsia="pt-BR"/>
        </w:rPr>
      </w:pPr>
      <w:bookmarkStart w:id="6" w:name="_Hlk73952205"/>
      <w:r>
        <w:rPr>
          <w:rFonts w:cs="Times New Roman" w:ascii="Times New Roman" w:hAnsi="Times New Roman"/>
          <w:sz w:val="22"/>
          <w:szCs w:val="22"/>
          <w:lang w:eastAsia="pt-BR"/>
        </w:rPr>
        <w:t>Art. 3</w:t>
      </w:r>
      <w:r>
        <w:rPr>
          <w:rFonts w:cs="Times New Roman" w:ascii="Times New Roman" w:hAnsi="Times New Roman"/>
          <w:sz w:val="22"/>
          <w:szCs w:val="22"/>
          <w:u w:val="single"/>
          <w:vertAlign w:val="superscript"/>
          <w:lang w:eastAsia="pt-BR"/>
        </w:rPr>
        <w:t>o</w:t>
      </w:r>
      <w:r>
        <w:rPr>
          <w:rFonts w:cs="Times New Roman" w:ascii="Times New Roman" w:hAnsi="Times New Roman"/>
          <w:sz w:val="22"/>
          <w:szCs w:val="22"/>
          <w:lang w:eastAsia="pt-BR"/>
        </w:rPr>
        <w:t> </w:t>
      </w:r>
      <w:bookmarkEnd w:id="6"/>
      <w:r>
        <w:rPr>
          <w:rFonts w:cs="Times New Roman" w:ascii="Times New Roman" w:hAnsi="Times New Roman"/>
          <w:sz w:val="22"/>
          <w:szCs w:val="22"/>
          <w:lang w:eastAsia="pt-BR"/>
        </w:rPr>
        <w:t>Respeitado o disposto no art. 1</w:t>
      </w:r>
      <w:r>
        <w:rPr>
          <w:rFonts w:cs="Times New Roman" w:ascii="Times New Roman" w:hAnsi="Times New Roman"/>
          <w:sz w:val="22"/>
          <w:szCs w:val="22"/>
          <w:u w:val="single"/>
          <w:vertAlign w:val="superscript"/>
          <w:lang w:eastAsia="pt-BR"/>
        </w:rPr>
        <w:t>o</w:t>
      </w:r>
      <w:r>
        <w:rPr>
          <w:rFonts w:cs="Times New Roman" w:ascii="Times New Roman" w:hAnsi="Times New Roman"/>
          <w:sz w:val="22"/>
          <w:szCs w:val="22"/>
          <w:lang w:eastAsia="pt-BR"/>
        </w:rPr>
        <w:t xml:space="preserve"> desta Lei Complementar, poderão ser objeto de legalização os imóveis que possuam obras erigidas sobre parte do passeio público que estejam enquadrados, conforme o caso, nas hipóteses a seguir descritas: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  <w:lang w:eastAsia="pt-BR"/>
        </w:rPr>
        <w:t>I – passeios públicos em que o respectivo gabarito oficial esteja entre as medidas de 4,00m (quatro metros) e 5,50 m (cinco metros e cinquenta centímetros), observada a condição e o requisito, de que a área do passeio público ocupada irregularmente não poderá exceder, para qualquer cota enquadrada neste inciso, em medida que interfira na largura mínima a ser preservada, que deve ser de 3,00m (três metros), respeitada uma variação máxima de 10% (dez por cento) desta medida.</w:t>
      </w:r>
      <w:bookmarkStart w:id="7" w:name="_Hlk74148292"/>
      <w:bookmarkStart w:id="8" w:name="_Hlk74747418"/>
      <w:bookmarkEnd w:id="7"/>
      <w:bookmarkEnd w:id="8"/>
    </w:p>
    <w:p>
      <w:pPr>
        <w:pStyle w:val="Normal"/>
        <w:ind w:firstLine="851"/>
        <w:jc w:val="both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  <w:lang w:eastAsia="pt-BR"/>
        </w:rPr>
        <w:t xml:space="preserve">II – passeios públicos em que o respectivo gabarito oficial esteja entre as medidas de 3,00 m (três metros) e 3,99 m (três metros e noventa e nove centímetros), observada a condição e o requisito, de que a área do passeio público ocupada irregularmente não poderá exceder, para qualquer cota enquadrada neste inciso, em medida que interfira na largura mínima a ser preservada, que deve ser de 2,00m (dois metros), respeitada a variação máxima de 10% (dez por cento) desta medida. 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  <w:lang w:eastAsia="pt-BR"/>
        </w:rPr>
        <w:t xml:space="preserve">III – passeios públicos em que o respectivo gabarito oficial esteja entre as medidas de 2,00 m (dois metros) e 2,99 m (dois metros e noventa e nove centímetros), observada a condição e o requisito, de que a área do passeio público ocupada irregularmente não poderá exceder, para qualquer cota enquadrada neste inciso, em medida que interfira na largura mínima a ser preservada, que deve ser de 1,50m (um metro e cinquenta centímetros), respeitada a variação máxima de 10% (dez por cento) desta medida. 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  <w:lang w:eastAsia="pt-BR"/>
        </w:rPr>
        <w:t>IV - passeios públicos que tenham medida inferior a 1,50m (um metro e cinquenta centímetros) em decorrência de absorção pelo sistema viário ou onde a urbanização tenha tido origem por intermédio de processo de regularização fundiária, para qualquer medida;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  <w:lang w:eastAsia="pt-BR"/>
        </w:rPr>
        <w:t>V - passeios públicos localizados defronte a imóveis que tenham a necessidade de contenção de suas terras por intermédio de taludes, muretas de contenção e/ou trabalho de estabilização ou sustentação equivalente, desde que tenha havido a reserva de, no mínimo, 1,50m (um metro e cinquenta centímetros) do atinente logradouro pavimentado, de livre passagem e sem obstáculos.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bCs/>
          <w:iCs/>
          <w:sz w:val="22"/>
          <w:szCs w:val="22"/>
        </w:rPr>
        <w:t>§1</w:t>
      </w:r>
      <w:r>
        <w:rPr>
          <w:rFonts w:cs="Times New Roman" w:ascii="Times New Roman" w:hAnsi="Times New Roman"/>
          <w:bCs/>
          <w:iCs/>
          <w:sz w:val="22"/>
          <w:szCs w:val="22"/>
          <w:u w:val="single"/>
          <w:vertAlign w:val="superscript"/>
        </w:rPr>
        <w:t>o</w:t>
      </w:r>
      <w:r>
        <w:rPr>
          <w:rFonts w:cs="Times New Roman" w:ascii="Times New Roman" w:hAnsi="Times New Roman"/>
          <w:bCs/>
          <w:sz w:val="22"/>
          <w:szCs w:val="22"/>
        </w:rPr>
        <w:t xml:space="preserve"> Aplicam-se às hipóteses dos incisos I, II, III e IV deste artigo aos casos em que os</w:t>
      </w:r>
      <w:r>
        <w:rPr>
          <w:rFonts w:cs="Times New Roman" w:ascii="Times New Roman" w:hAnsi="Times New Roman"/>
          <w:sz w:val="22"/>
          <w:szCs w:val="22"/>
          <w:lang w:eastAsia="pt-BR"/>
        </w:rPr>
        <w:t xml:space="preserve"> passeios públicos tenham sido ocupados irregularmente com obras finalizadas, desde que no mínimo 50% (cinquenta por cento) dos logradouros da testada da correspondente quadra para a qual o imóvel faz frente estejam em situação similar. 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  <w:lang w:eastAsia="pt-BR"/>
        </w:rPr>
        <w:t>§2</w:t>
      </w:r>
      <w:r>
        <w:rPr>
          <w:rFonts w:cs="Times New Roman" w:ascii="Times New Roman" w:hAnsi="Times New Roman"/>
          <w:sz w:val="22"/>
          <w:szCs w:val="22"/>
          <w:u w:val="single"/>
          <w:vertAlign w:val="superscript"/>
          <w:lang w:eastAsia="pt-BR"/>
        </w:rPr>
        <w:t>o</w:t>
      </w:r>
      <w:r>
        <w:rPr>
          <w:rFonts w:cs="Times New Roman" w:ascii="Times New Roman" w:hAnsi="Times New Roman"/>
          <w:sz w:val="22"/>
          <w:szCs w:val="22"/>
          <w:lang w:eastAsia="pt-BR"/>
        </w:rPr>
        <w:t> Quando a ocupação parcial do passeio público com cercamento tenha sito efetuada de arame farpado, tal cercamento deverá ser removido, não sendo caso de legalização.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2"/>
          <w:szCs w:val="22"/>
          <w:lang w:eastAsia="pt-BR"/>
        </w:rPr>
      </w:pPr>
      <w:bookmarkStart w:id="9" w:name="_Hlk73542414"/>
      <w:r>
        <w:rPr>
          <w:rFonts w:cs="Times New Roman" w:ascii="Times New Roman" w:hAnsi="Times New Roman"/>
          <w:sz w:val="22"/>
          <w:szCs w:val="22"/>
          <w:lang w:eastAsia="pt-BR"/>
        </w:rPr>
        <w:t>§3</w:t>
      </w:r>
      <w:r>
        <w:rPr>
          <w:rFonts w:cs="Times New Roman" w:ascii="Times New Roman" w:hAnsi="Times New Roman"/>
          <w:sz w:val="22"/>
          <w:szCs w:val="22"/>
          <w:u w:val="single"/>
          <w:vertAlign w:val="superscript"/>
          <w:lang w:eastAsia="pt-BR"/>
        </w:rPr>
        <w:t>o</w:t>
      </w:r>
      <w:bookmarkEnd w:id="9"/>
      <w:r>
        <w:rPr>
          <w:rFonts w:cs="Times New Roman" w:ascii="Times New Roman" w:hAnsi="Times New Roman"/>
          <w:sz w:val="22"/>
          <w:szCs w:val="22"/>
          <w:lang w:eastAsia="pt-BR"/>
        </w:rPr>
        <w:t> Nas hipóteses do inciso V deste artigo, quando a área do terreno desses imóveis esteja acima e/ou abaixo do nível da via de circulação de veículos e haja a existência de talude ou mureta artificial, ao par da execução do passeio público pavimentado com no mínimo 1,50m (um metro e cinquenta centímetros) de livre passagem e sem obstáculos, será facultado ao proprietário executar a pavimentação do acesso a garagem e/ou portão de entrada, quando for o caso, em conformidade, em segmentos de inclinação, com o disposto nos artigos 117 a 120 da Lei Complementar n</w:t>
      </w:r>
      <w:r>
        <w:rPr>
          <w:rFonts w:cs="Times New Roman" w:ascii="Times New Roman" w:hAnsi="Times New Roman"/>
          <w:sz w:val="22"/>
          <w:szCs w:val="22"/>
          <w:u w:val="single"/>
          <w:vertAlign w:val="superscript"/>
          <w:lang w:eastAsia="pt-BR"/>
        </w:rPr>
        <w:t>o</w:t>
      </w:r>
      <w:r>
        <w:rPr>
          <w:rFonts w:cs="Times New Roman" w:ascii="Times New Roman" w:hAnsi="Times New Roman"/>
          <w:sz w:val="22"/>
          <w:szCs w:val="22"/>
          <w:lang w:eastAsia="pt-BR"/>
        </w:rPr>
        <w:t> 118, de 2017</w:t>
      </w:r>
      <w:r>
        <w:rPr>
          <w:rFonts w:cs="Times New Roman" w:ascii="Times New Roman" w:hAnsi="Times New Roman"/>
          <w:iCs/>
          <w:sz w:val="22"/>
          <w:szCs w:val="22"/>
        </w:rPr>
        <w:t>.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  <w:lang w:eastAsia="pt-BR"/>
        </w:rPr>
        <w:t>§4</w:t>
      </w:r>
      <w:r>
        <w:rPr>
          <w:rFonts w:cs="Times New Roman" w:ascii="Times New Roman" w:hAnsi="Times New Roman"/>
          <w:sz w:val="22"/>
          <w:szCs w:val="22"/>
          <w:u w:val="single"/>
          <w:vertAlign w:val="superscript"/>
          <w:lang w:eastAsia="pt-BR"/>
        </w:rPr>
        <w:t>o</w:t>
      </w:r>
      <w:r>
        <w:rPr>
          <w:rFonts w:cs="Times New Roman" w:ascii="Times New Roman" w:hAnsi="Times New Roman"/>
          <w:sz w:val="22"/>
          <w:szCs w:val="22"/>
          <w:lang w:eastAsia="pt-BR"/>
        </w:rPr>
        <w:t> Toda a área ocupada irregularmente com as obras consolidadas e que estejam localizadas sobre o passeio público devem ser demarcadas, em projeto, como “áreas não passíveis de legalização”.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  <w:lang w:eastAsia="pt-BR"/>
        </w:rPr>
        <w:t>§5</w:t>
      </w:r>
      <w:r>
        <w:rPr>
          <w:rFonts w:cs="Times New Roman" w:ascii="Times New Roman" w:hAnsi="Times New Roman"/>
          <w:sz w:val="22"/>
          <w:szCs w:val="22"/>
          <w:u w:val="single"/>
          <w:vertAlign w:val="superscript"/>
          <w:lang w:eastAsia="pt-BR"/>
        </w:rPr>
        <w:t>o</w:t>
      </w:r>
      <w:r>
        <w:rPr>
          <w:rFonts w:cs="Times New Roman" w:ascii="Times New Roman" w:hAnsi="Times New Roman"/>
          <w:sz w:val="22"/>
          <w:szCs w:val="22"/>
          <w:lang w:eastAsia="pt-BR"/>
        </w:rPr>
        <w:t> A legalização de que trata esta Lei Complementar, em especial ao estado de conservação do passeio público, será possível desde que preencham, cumulativamente, aos seguintes requisitos: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  <w:lang w:eastAsia="pt-BR"/>
        </w:rPr>
        <w:t>a) estejam em bom estado de conservação e atendam a legislação relativa ao “passeio padrão”, quando for o caso;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  <w:lang w:eastAsia="pt-BR"/>
        </w:rPr>
        <w:t>b) tenham sido executados com material antiderrapante;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  <w:lang w:eastAsia="pt-BR"/>
        </w:rPr>
        <w:t>c) não possuam degraus, obstáculos ou semelhantes;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  <w:lang w:eastAsia="pt-BR"/>
        </w:rPr>
        <w:t>d) atendam a legislação relativa à acessibilidade.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  <w:lang w:eastAsia="pt-BR"/>
        </w:rPr>
        <w:t>§6</w:t>
      </w:r>
      <w:r>
        <w:rPr>
          <w:rFonts w:cs="Times New Roman" w:ascii="Times New Roman" w:hAnsi="Times New Roman"/>
          <w:sz w:val="22"/>
          <w:szCs w:val="22"/>
          <w:u w:val="single"/>
          <w:vertAlign w:val="superscript"/>
          <w:lang w:eastAsia="pt-BR"/>
        </w:rPr>
        <w:t>o</w:t>
      </w:r>
      <w:r>
        <w:rPr>
          <w:rFonts w:cs="Times New Roman" w:ascii="Times New Roman" w:hAnsi="Times New Roman"/>
          <w:sz w:val="22"/>
          <w:szCs w:val="22"/>
          <w:lang w:eastAsia="pt-BR"/>
        </w:rPr>
        <w:t> Caso haja a aprovação do projeto de legalização, com base nesta Lei Complementar, as obras erigidas sobre o passeio público não poderão ser ampliadas, modificadas e/ou reformadas, salvo em circunstâncias excepcionais, devidamente fundamentadas e aprovadas pelo Poder Executivo.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  <w:lang w:eastAsia="pt-BR"/>
        </w:rPr>
        <w:t>§7</w:t>
      </w:r>
      <w:r>
        <w:rPr>
          <w:rFonts w:cs="Times New Roman" w:ascii="Times New Roman" w:hAnsi="Times New Roman"/>
          <w:sz w:val="22"/>
          <w:szCs w:val="22"/>
          <w:u w:val="single"/>
          <w:vertAlign w:val="superscript"/>
          <w:lang w:eastAsia="pt-BR"/>
        </w:rPr>
        <w:t>o</w:t>
      </w:r>
      <w:r>
        <w:rPr>
          <w:rFonts w:cs="Times New Roman" w:ascii="Times New Roman" w:hAnsi="Times New Roman"/>
          <w:sz w:val="22"/>
          <w:szCs w:val="22"/>
          <w:lang w:eastAsia="pt-BR"/>
        </w:rPr>
        <w:t> Em caso de demolição da parte da obra localizada sobre o passeio público, ressalvado o disposto no §6</w:t>
      </w:r>
      <w:r>
        <w:rPr>
          <w:rFonts w:cs="Times New Roman" w:ascii="Times New Roman" w:hAnsi="Times New Roman"/>
          <w:sz w:val="22"/>
          <w:szCs w:val="22"/>
          <w:u w:val="single"/>
          <w:vertAlign w:val="superscript"/>
          <w:lang w:eastAsia="pt-BR"/>
        </w:rPr>
        <w:t>o</w:t>
      </w:r>
      <w:r>
        <w:rPr>
          <w:rFonts w:cs="Times New Roman" w:ascii="Times New Roman" w:hAnsi="Times New Roman"/>
          <w:sz w:val="22"/>
          <w:szCs w:val="22"/>
          <w:lang w:eastAsia="pt-BR"/>
        </w:rPr>
        <w:t> deste artigo, o proprietário deverá obedecer, em caso de reforma ou reconstrução, ao gabarito previsto para a respectiva via pública e aos índices urbanísticos previstos na legislação vigente.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2"/>
          <w:szCs w:val="22"/>
          <w:lang w:eastAsia="pt-BR"/>
        </w:rPr>
      </w:pPr>
      <w:bookmarkStart w:id="10" w:name="_Hlk74748326"/>
      <w:r>
        <w:rPr>
          <w:rFonts w:cs="Times New Roman" w:ascii="Times New Roman" w:hAnsi="Times New Roman"/>
          <w:sz w:val="22"/>
          <w:szCs w:val="22"/>
          <w:lang w:eastAsia="pt-BR"/>
        </w:rPr>
        <w:t>§8</w:t>
      </w:r>
      <w:r>
        <w:rPr>
          <w:rFonts w:cs="Times New Roman" w:ascii="Times New Roman" w:hAnsi="Times New Roman"/>
          <w:sz w:val="22"/>
          <w:szCs w:val="22"/>
          <w:u w:val="single"/>
          <w:vertAlign w:val="superscript"/>
          <w:lang w:eastAsia="pt-BR"/>
        </w:rPr>
        <w:t>o</w:t>
      </w:r>
      <w:r>
        <w:rPr>
          <w:rFonts w:cs="Times New Roman" w:ascii="Times New Roman" w:hAnsi="Times New Roman"/>
          <w:sz w:val="22"/>
          <w:szCs w:val="22"/>
          <w:lang w:eastAsia="pt-BR"/>
        </w:rPr>
        <w:t> </w:t>
      </w:r>
      <w:bookmarkEnd w:id="10"/>
      <w:r>
        <w:rPr>
          <w:rFonts w:cs="Times New Roman" w:ascii="Times New Roman" w:hAnsi="Times New Roman"/>
          <w:sz w:val="22"/>
          <w:szCs w:val="22"/>
          <w:lang w:eastAsia="pt-BR"/>
        </w:rPr>
        <w:t>Apurada, em qualquer época, a falsidade dos documentos ou das provas apresentadas para a legalização, o alvará de legalização, a carta de habitação e/ou a certidão de existência será(ão) cancelado(s) e o interessado sujeitar-se-á às sanções civis, administrativas e criminais previstas na legislação aplicável.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  <w:lang w:eastAsia="pt-BR"/>
        </w:rPr>
        <w:t>Art. 4</w:t>
      </w:r>
      <w:r>
        <w:rPr>
          <w:rFonts w:cs="Times New Roman" w:ascii="Times New Roman" w:hAnsi="Times New Roman"/>
          <w:sz w:val="22"/>
          <w:szCs w:val="22"/>
          <w:u w:val="single"/>
          <w:vertAlign w:val="superscript"/>
          <w:lang w:eastAsia="pt-BR"/>
        </w:rPr>
        <w:t>o</w:t>
      </w:r>
      <w:r>
        <w:rPr>
          <w:rFonts w:cs="Times New Roman" w:ascii="Times New Roman" w:hAnsi="Times New Roman"/>
          <w:sz w:val="22"/>
          <w:szCs w:val="22"/>
          <w:vertAlign w:val="subscript"/>
          <w:lang w:eastAsia="pt-BR"/>
        </w:rPr>
        <w:t xml:space="preserve"> </w:t>
      </w:r>
      <w:r>
        <w:rPr>
          <w:rFonts w:cs="Times New Roman" w:ascii="Times New Roman" w:hAnsi="Times New Roman"/>
          <w:sz w:val="22"/>
          <w:szCs w:val="22"/>
          <w:lang w:eastAsia="pt-BR"/>
        </w:rPr>
        <w:t>Para todos os casos dispostos nesta Lei Complementar sobre obras executadas sobre parte do passeio público, para a comprovação de sua consolidação, devem apresentar, no mínimo, um dos seguintes documentos: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  <w:lang w:eastAsia="pt-BR"/>
        </w:rPr>
        <w:t>a) fotografia do local com registro de data;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  <w:lang w:eastAsia="pt-BR"/>
        </w:rPr>
        <w:t>b) declaração do interessado ou procurador, sob as penas da lei, com firma reconhecida ou assinada por duas testemunhas, na qual deverá ser mencionada expressamente a responsabilidade do declarante pelas informações prestadas sobre o tempo da ocupação sobre o passeio público.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  <w:lang w:eastAsia="pt-BR"/>
        </w:rPr>
      </w:r>
    </w:p>
    <w:p>
      <w:pPr>
        <w:pStyle w:val="Normal"/>
        <w:jc w:val="center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  <w:lang w:eastAsia="pt-BR"/>
        </w:rPr>
        <w:t>CAPÍTULO III</w:t>
      </w:r>
    </w:p>
    <w:p>
      <w:pPr>
        <w:pStyle w:val="Normal"/>
        <w:jc w:val="center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  <w:lang w:eastAsia="pt-BR"/>
        </w:rPr>
        <w:t>DOS PROCEDIMENTOS E DA(S) MULTA(S) DE LEGALIZAÇÃO</w:t>
      </w:r>
    </w:p>
    <w:p>
      <w:pPr>
        <w:pStyle w:val="Normal"/>
        <w:jc w:val="center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  <w:lang w:eastAsia="pt-BR"/>
        </w:rPr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</w:rPr>
        <w:t>Art. 5</w:t>
      </w:r>
      <w:r>
        <w:rPr>
          <w:rFonts w:cs="Times New Roman" w:ascii="Times New Roman" w:hAnsi="Times New Roman"/>
          <w:sz w:val="22"/>
          <w:szCs w:val="22"/>
          <w:u w:val="single"/>
          <w:vertAlign w:val="superscript"/>
        </w:rPr>
        <w:t>o</w:t>
      </w:r>
      <w:r>
        <w:rPr>
          <w:rFonts w:cs="Times New Roman" w:ascii="Times New Roman" w:hAnsi="Times New Roman"/>
          <w:sz w:val="22"/>
          <w:szCs w:val="22"/>
        </w:rPr>
        <w:t xml:space="preserve"> O </w:t>
      </w:r>
      <w:r>
        <w:rPr>
          <w:rFonts w:cs="Times New Roman" w:ascii="Times New Roman" w:hAnsi="Times New Roman"/>
          <w:bCs/>
          <w:sz w:val="22"/>
          <w:szCs w:val="22"/>
          <w:lang w:eastAsia="pt-BR"/>
        </w:rPr>
        <w:t xml:space="preserve">Poder Executivo, com base nos preceitos desta Lei </w:t>
      </w:r>
      <w:r>
        <w:rPr>
          <w:rFonts w:cs="Times New Roman" w:ascii="Times New Roman" w:hAnsi="Times New Roman"/>
          <w:sz w:val="22"/>
          <w:szCs w:val="22"/>
          <w:lang w:eastAsia="pt-BR"/>
        </w:rPr>
        <w:t>Complementar</w:t>
      </w:r>
      <w:r>
        <w:rPr>
          <w:rFonts w:cs="Times New Roman" w:ascii="Times New Roman" w:hAnsi="Times New Roman"/>
          <w:bCs/>
          <w:sz w:val="22"/>
          <w:szCs w:val="22"/>
          <w:lang w:eastAsia="pt-BR"/>
        </w:rPr>
        <w:t>, fica autorizado a proceder na análise e, conforme o caso, aprovar e emitir os correspondentes documentos de</w:t>
      </w:r>
      <w:r>
        <w:rPr>
          <w:rFonts w:cs="Times New Roman" w:ascii="Times New Roman" w:hAnsi="Times New Roman"/>
          <w:sz w:val="22"/>
          <w:szCs w:val="22"/>
          <w:lang w:eastAsia="pt-BR"/>
        </w:rPr>
        <w:t xml:space="preserve"> </w:t>
      </w:r>
      <w:r>
        <w:rPr>
          <w:rFonts w:cs="Times New Roman" w:ascii="Times New Roman" w:hAnsi="Times New Roman"/>
          <w:bCs/>
          <w:sz w:val="22"/>
          <w:szCs w:val="22"/>
          <w:lang w:eastAsia="pt-BR"/>
        </w:rPr>
        <w:t>legalização, confeccionando e fornecendo</w:t>
      </w:r>
      <w:r>
        <w:rPr>
          <w:rFonts w:cs="Times New Roman" w:ascii="Times New Roman" w:hAnsi="Times New Roman"/>
          <w:sz w:val="22"/>
          <w:szCs w:val="22"/>
          <w:lang w:eastAsia="pt-BR"/>
        </w:rPr>
        <w:t xml:space="preserve">, conforme o caso, </w:t>
      </w:r>
      <w:r>
        <w:rPr>
          <w:rFonts w:cs="Times New Roman" w:ascii="Times New Roman" w:hAnsi="Times New Roman"/>
          <w:bCs/>
          <w:sz w:val="22"/>
          <w:szCs w:val="22"/>
          <w:lang w:eastAsia="pt-BR"/>
        </w:rPr>
        <w:t xml:space="preserve">os atinentes documentos do </w:t>
      </w:r>
      <w:r>
        <w:rPr>
          <w:rFonts w:cs="Times New Roman" w:ascii="Times New Roman" w:hAnsi="Times New Roman"/>
          <w:sz w:val="22"/>
          <w:szCs w:val="22"/>
          <w:lang w:eastAsia="pt-BR"/>
        </w:rPr>
        <w:t xml:space="preserve">alvará de legalização, da carta de habitação e/ou certidão de existência em relação aos imóveis que sejam objeto de pedido de legalização protocolizado perante a Secretaria Municipal de Planejamento e Habitação </w:t>
      </w:r>
      <w:bookmarkStart w:id="11" w:name="_Hlk73544844"/>
      <w:r>
        <w:rPr>
          <w:rFonts w:cs="Times New Roman" w:ascii="Times New Roman" w:hAnsi="Times New Roman"/>
          <w:sz w:val="22"/>
          <w:szCs w:val="22"/>
          <w:lang w:eastAsia="pt-BR"/>
        </w:rPr>
        <w:t>ou ao órgão que lhe vier a substituir na estrutura administrativa</w:t>
      </w:r>
      <w:bookmarkEnd w:id="11"/>
      <w:r>
        <w:rPr>
          <w:rFonts w:cs="Times New Roman" w:ascii="Times New Roman" w:hAnsi="Times New Roman"/>
          <w:sz w:val="22"/>
          <w:szCs w:val="22"/>
          <w:lang w:eastAsia="pt-BR"/>
        </w:rPr>
        <w:t xml:space="preserve"> do Poder Executivo, mediante o recolhimento da multa apurada, devendo na tramitação do processo administrativo ocorrer o cumprimento dos seguintes atos: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  <w:lang w:eastAsia="pt-BR"/>
        </w:rPr>
        <w:t>I – apresentação de projeto técnico identificando a hipótese de enquadramento, nos termos do art.</w:t>
      </w:r>
      <w:r>
        <w:rPr>
          <w:rFonts w:cs="Times New Roman" w:ascii="Times New Roman" w:hAnsi="Times New Roman"/>
          <w:sz w:val="22"/>
          <w:szCs w:val="22"/>
        </w:rPr>
        <w:t xml:space="preserve"> 3</w:t>
      </w:r>
      <w:r>
        <w:rPr>
          <w:rFonts w:cs="Times New Roman" w:ascii="Times New Roman" w:hAnsi="Times New Roman"/>
          <w:sz w:val="22"/>
          <w:szCs w:val="22"/>
          <w:u w:val="single"/>
          <w:vertAlign w:val="superscript"/>
        </w:rPr>
        <w:t>o</w:t>
      </w:r>
      <w:r>
        <w:rPr>
          <w:rFonts w:cs="Times New Roman" w:ascii="Times New Roman" w:hAnsi="Times New Roman"/>
          <w:sz w:val="22"/>
          <w:szCs w:val="22"/>
          <w:lang w:eastAsia="pt-BR"/>
        </w:rPr>
        <w:t xml:space="preserve"> desta, bem como às imanentes áreas do passeio público e, quando for o caso, do recuo frontal invadido;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  <w:lang w:eastAsia="pt-BR"/>
        </w:rPr>
        <w:t>II – declaração, pelo(s) proprietário(s), em caráter irrestrito, irrevogável e irretratável, sob às penas da lei, de que está ciente e se obriga que, caso o Município de Santa Rosa necessite alargar a via pública ou utilizar a área ocupada irregularmente, procederá à demolição da parte invadida, às suas expensas, mantendo-a preservada, sendo que tal declaração constará nas observações da Carta de Habitação.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  <w:lang w:eastAsia="pt-BR"/>
        </w:rPr>
        <w:t>§1</w:t>
      </w:r>
      <w:r>
        <w:rPr>
          <w:rFonts w:cs="Times New Roman" w:ascii="Times New Roman" w:hAnsi="Times New Roman"/>
          <w:sz w:val="22"/>
          <w:szCs w:val="22"/>
          <w:u w:val="single"/>
          <w:vertAlign w:val="superscript"/>
          <w:lang w:eastAsia="pt-BR"/>
        </w:rPr>
        <w:t>o</w:t>
      </w:r>
      <w:r>
        <w:rPr>
          <w:rFonts w:cs="Times New Roman" w:ascii="Times New Roman" w:hAnsi="Times New Roman"/>
          <w:sz w:val="22"/>
          <w:szCs w:val="22"/>
          <w:lang w:eastAsia="pt-BR"/>
        </w:rPr>
        <w:t xml:space="preserve"> Para a legalização de obras que invadam parcialmente o passeio público haverá a aplicação de multa, que será calculada em conformidade com o que segue: 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  <w:lang w:eastAsia="pt-BR"/>
        </w:rPr>
        <w:t xml:space="preserve">I – nos casos onde a ocupação da área invadida for por obras relativas a fechamento do lote, com características de: muros, muretas, cercas, grades e similares e muretas de entrada de energia/água, caberá a aplicação de multa de legalização que será calculada, no percentual de 5% (cinco por cento) do valor do custo unitário básico ponderado da construção civil – CUB, do mês de referência agosto de 2017, devidamente atualizado mensalmente pelo Índice Nacional de Custo da Construção Civil – INCC, da Fundação Getúlio Vargas, por metro quadrado de área ocupada sobre o passeio público. 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  <w:lang w:eastAsia="pt-BR"/>
        </w:rPr>
        <w:t xml:space="preserve">II – para os casos onde a ocupação da área invadida for com edificações ocorrerá o pagamento de multa, no percentual de 10% (dez por cento) do valor do custo unitário básico ponderado da construção civil – CUB, do mês de referência agosto de 2017, devidamente atualizado mensalmente pelo Índice Nacional de Custo da Construção Civil – INCC, da Fundação Getúlio Vargas, por metro quadrado de área edificada sobre o passeio público, conforme o caso. 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trike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  <w:lang w:eastAsia="pt-BR"/>
        </w:rPr>
        <w:t>§2</w:t>
      </w:r>
      <w:r>
        <w:rPr>
          <w:rFonts w:cs="Times New Roman" w:ascii="Times New Roman" w:hAnsi="Times New Roman"/>
          <w:sz w:val="22"/>
          <w:szCs w:val="22"/>
          <w:u w:val="single"/>
          <w:vertAlign w:val="superscript"/>
          <w:lang w:eastAsia="pt-BR"/>
        </w:rPr>
        <w:t>o</w:t>
      </w:r>
      <w:r>
        <w:rPr>
          <w:rFonts w:cs="Times New Roman" w:ascii="Times New Roman" w:hAnsi="Times New Roman"/>
          <w:sz w:val="22"/>
          <w:szCs w:val="22"/>
          <w:lang w:eastAsia="pt-BR"/>
        </w:rPr>
        <w:t xml:space="preserve"> O pedido de legalização será analisado pelo setor técnico competente da Secretaria Municipal de Planejamento e Habitação ou ao órgão que lhe vier a substituir na estrutura administrativa do Poder Executivo. 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bCs/>
          <w:iCs/>
          <w:sz w:val="22"/>
          <w:szCs w:val="22"/>
        </w:rPr>
        <w:t>§3</w:t>
      </w:r>
      <w:r>
        <w:rPr>
          <w:rFonts w:cs="Times New Roman" w:ascii="Times New Roman" w:hAnsi="Times New Roman"/>
          <w:bCs/>
          <w:iCs/>
          <w:sz w:val="22"/>
          <w:szCs w:val="22"/>
          <w:u w:val="single"/>
          <w:vertAlign w:val="superscript"/>
        </w:rPr>
        <w:t>o</w:t>
      </w:r>
      <w:r>
        <w:rPr>
          <w:rFonts w:cs="Times New Roman" w:ascii="Times New Roman" w:hAnsi="Times New Roman"/>
          <w:bCs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Para fins da efetivação da legalização das hipóteses previstas no inciso V do art.</w:t>
      </w:r>
      <w:r>
        <w:rPr>
          <w:rFonts w:cs="Times New Roman" w:ascii="Times New Roman" w:hAnsi="Times New Roman"/>
          <w:sz w:val="22"/>
          <w:szCs w:val="22"/>
          <w:lang w:eastAsia="pt-BR"/>
        </w:rPr>
        <w:t xml:space="preserve"> 3</w:t>
      </w:r>
      <w:r>
        <w:rPr>
          <w:rFonts w:cs="Times New Roman" w:ascii="Times New Roman" w:hAnsi="Times New Roman"/>
          <w:sz w:val="22"/>
          <w:szCs w:val="22"/>
          <w:u w:val="single"/>
          <w:vertAlign w:val="superscript"/>
          <w:lang w:eastAsia="pt-BR"/>
        </w:rPr>
        <w:t>o</w:t>
      </w:r>
      <w:r>
        <w:rPr>
          <w:rFonts w:cs="Times New Roman" w:ascii="Times New Roman" w:hAnsi="Times New Roman"/>
          <w:sz w:val="22"/>
          <w:szCs w:val="22"/>
          <w:lang w:eastAsia="pt-BR"/>
        </w:rPr>
        <w:t xml:space="preserve"> desta Lei Complementar, </w:t>
      </w:r>
      <w:r>
        <w:rPr>
          <w:rFonts w:cs="Times New Roman" w:ascii="Times New Roman" w:hAnsi="Times New Roman"/>
          <w:sz w:val="22"/>
          <w:szCs w:val="22"/>
        </w:rPr>
        <w:t xml:space="preserve">caso os respectivos </w:t>
      </w:r>
      <w:r>
        <w:rPr>
          <w:rFonts w:cs="Times New Roman" w:ascii="Times New Roman" w:hAnsi="Times New Roman"/>
          <w:sz w:val="22"/>
          <w:szCs w:val="22"/>
          <w:lang w:eastAsia="pt-BR"/>
        </w:rPr>
        <w:t>passeios públicos estejam executados em padrões construtivos de acessibilidade mínima em consonância com às prescrições do Decreto Federal n</w:t>
      </w:r>
      <w:r>
        <w:rPr>
          <w:rFonts w:cs="Times New Roman" w:ascii="Times New Roman" w:hAnsi="Times New Roman"/>
          <w:sz w:val="22"/>
          <w:szCs w:val="22"/>
          <w:u w:val="single"/>
          <w:vertAlign w:val="superscript"/>
          <w:lang w:eastAsia="pt-BR"/>
        </w:rPr>
        <w:t>o</w:t>
      </w:r>
      <w:r>
        <w:rPr>
          <w:rFonts w:cs="Times New Roman" w:ascii="Times New Roman" w:hAnsi="Times New Roman"/>
          <w:sz w:val="22"/>
          <w:szCs w:val="22"/>
          <w:lang w:eastAsia="pt-BR"/>
        </w:rPr>
        <w:t xml:space="preserve"> 5.296, de 2 de dezembro de 2004 e da Associação Brasileira de Normas Técnicas (ABNT), bem como haja a feitura da pavimentação mínima em medida não inferior a 1,50 m (um metro e cinquenta centímetros) e, ainda, seja mantido o restante do passeio com sua inclinação natural livre de grades, cercas e demais elementos construtivos, descontadas árvores e/ou postes das redes de energia e telefonia, </w:t>
      </w:r>
      <w:r>
        <w:rPr>
          <w:rFonts w:cs="Times New Roman" w:ascii="Times New Roman" w:hAnsi="Times New Roman"/>
          <w:sz w:val="22"/>
          <w:szCs w:val="22"/>
        </w:rPr>
        <w:t xml:space="preserve">o Poder Executivo </w:t>
      </w:r>
      <w:r>
        <w:rPr>
          <w:rFonts w:cs="Times New Roman" w:ascii="Times New Roman" w:hAnsi="Times New Roman"/>
          <w:bCs/>
          <w:sz w:val="22"/>
          <w:szCs w:val="22"/>
          <w:lang w:eastAsia="pt-BR"/>
        </w:rPr>
        <w:t>emitirá os atinentes documentos de legalização sem a aplicação de multa</w:t>
      </w:r>
      <w:r>
        <w:rPr>
          <w:rFonts w:cs="Times New Roman" w:ascii="Times New Roman" w:hAnsi="Times New Roman"/>
          <w:sz w:val="22"/>
          <w:szCs w:val="22"/>
        </w:rPr>
        <w:t>.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  <w:lang w:eastAsia="pt-BR"/>
        </w:rPr>
        <w:t>§4</w:t>
      </w:r>
      <w:r>
        <w:rPr>
          <w:rFonts w:cs="Times New Roman" w:ascii="Times New Roman" w:hAnsi="Times New Roman"/>
          <w:sz w:val="22"/>
          <w:szCs w:val="22"/>
          <w:u w:val="single"/>
          <w:vertAlign w:val="superscript"/>
          <w:lang w:eastAsia="pt-BR"/>
        </w:rPr>
        <w:t>o</w:t>
      </w:r>
      <w:r>
        <w:rPr>
          <w:rFonts w:cs="Times New Roman" w:ascii="Times New Roman" w:hAnsi="Times New Roman"/>
          <w:sz w:val="22"/>
          <w:szCs w:val="22"/>
          <w:lang w:eastAsia="pt-BR"/>
        </w:rPr>
        <w:t> Para todos os fins que se fizerem necessários, nos termos desta Lei Complementar, o pagamento de multa não gera direito de propriedade sobre a área erigida sobre ou no passeio público.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  <w:lang w:eastAsia="pt-BR"/>
        </w:rPr>
      </w:r>
    </w:p>
    <w:p>
      <w:pPr>
        <w:pStyle w:val="Normal"/>
        <w:jc w:val="center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  <w:lang w:eastAsia="pt-BR"/>
        </w:rPr>
        <w:t>CAPÍTULO IV</w:t>
      </w:r>
    </w:p>
    <w:p>
      <w:pPr>
        <w:pStyle w:val="Normal"/>
        <w:jc w:val="center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  <w:lang w:eastAsia="pt-BR"/>
        </w:rPr>
        <w:t>DAS HIPÓTESES DE ENQUADRAMENTO, CONDIÇÕES E REQUISITOS DE REGULARIZAÇÃO</w:t>
      </w:r>
    </w:p>
    <w:p>
      <w:pPr>
        <w:pStyle w:val="Normal"/>
        <w:jc w:val="center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  <w:lang w:eastAsia="pt-BR"/>
        </w:rPr>
        <w:t xml:space="preserve"> </w:t>
      </w:r>
      <w:r>
        <w:rPr>
          <w:rFonts w:cs="Times New Roman" w:ascii="Times New Roman" w:hAnsi="Times New Roman"/>
          <w:sz w:val="22"/>
          <w:szCs w:val="22"/>
          <w:lang w:eastAsia="pt-BR"/>
        </w:rPr>
        <w:t>DE IMÓVEIS EM RELAÇÃO À TAXA DE PERMEABILIDADE</w:t>
      </w:r>
    </w:p>
    <w:p>
      <w:pPr>
        <w:pStyle w:val="Normal"/>
        <w:jc w:val="center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  <w:lang w:eastAsia="pt-BR"/>
        </w:rPr>
        <w:t xml:space="preserve"> </w:t>
      </w:r>
      <w:r>
        <w:rPr>
          <w:rFonts w:cs="Times New Roman" w:ascii="Times New Roman" w:hAnsi="Times New Roman"/>
          <w:sz w:val="22"/>
          <w:szCs w:val="22"/>
          <w:lang w:eastAsia="pt-BR"/>
        </w:rPr>
        <w:t>E REAPROVEITAMENTO DAS ÀGUAS PLUVIAIS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color w:val="4472C4"/>
          <w:sz w:val="22"/>
          <w:szCs w:val="22"/>
          <w:lang w:eastAsia="pt-BR"/>
        </w:rPr>
      </w:pPr>
      <w:r>
        <w:rPr>
          <w:rFonts w:cs="Times New Roman" w:ascii="Times New Roman" w:hAnsi="Times New Roman"/>
          <w:color w:val="4472C4"/>
          <w:sz w:val="22"/>
          <w:szCs w:val="22"/>
          <w:lang w:eastAsia="pt-BR"/>
        </w:rPr>
      </w:r>
    </w:p>
    <w:p>
      <w:pPr>
        <w:pStyle w:val="Normal"/>
        <w:ind w:firstLine="851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Art. 6</w:t>
      </w:r>
      <w:r>
        <w:rPr>
          <w:rFonts w:cs="Times New Roman" w:ascii="Times New Roman" w:hAnsi="Times New Roman"/>
          <w:bCs/>
          <w:sz w:val="22"/>
          <w:szCs w:val="22"/>
          <w:u w:val="single"/>
          <w:vertAlign w:val="superscript"/>
        </w:rPr>
        <w:t>o</w:t>
      </w:r>
      <w:r>
        <w:rPr>
          <w:rFonts w:cs="Times New Roman" w:ascii="Times New Roman" w:hAnsi="Times New Roman"/>
          <w:sz w:val="22"/>
          <w:szCs w:val="22"/>
        </w:rPr>
        <w:t xml:space="preserve"> Ficam instituídos </w:t>
      </w:r>
      <w:r>
        <w:rPr>
          <w:rFonts w:cs="Times New Roman" w:ascii="Times New Roman" w:hAnsi="Times New Roman"/>
          <w:bCs/>
          <w:sz w:val="22"/>
          <w:szCs w:val="22"/>
        </w:rPr>
        <w:t xml:space="preserve">critérios de regularização de imóveis, situados dentro do perímetro urbano, que descumpriram a taxa de permeabilidade, </w:t>
      </w:r>
      <w:r>
        <w:rPr>
          <w:rFonts w:cs="Times New Roman" w:ascii="Times New Roman" w:hAnsi="Times New Roman"/>
          <w:iCs/>
          <w:sz w:val="22"/>
          <w:szCs w:val="22"/>
        </w:rPr>
        <w:t>conforme a zona em que se situam,</w:t>
      </w:r>
      <w:r>
        <w:rPr>
          <w:rFonts w:cs="Times New Roman" w:ascii="Times New Roman" w:hAnsi="Times New Roman"/>
          <w:bCs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estabelecendo que para o atingimento da taxa mínima de permeabilidade constante da</w:t>
      </w:r>
      <w:r>
        <w:rPr>
          <w:rFonts w:cs="Times New Roman" w:ascii="Times New Roman" w:hAnsi="Times New Roman"/>
          <w:iCs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Lei Complementar n</w:t>
      </w:r>
      <w:r>
        <w:rPr>
          <w:rFonts w:cs="Times New Roman" w:ascii="Times New Roman" w:hAnsi="Times New Roman"/>
          <w:sz w:val="22"/>
          <w:szCs w:val="22"/>
          <w:u w:val="single"/>
          <w:vertAlign w:val="superscript"/>
        </w:rPr>
        <w:t>o</w:t>
      </w:r>
      <w:r>
        <w:rPr>
          <w:rFonts w:cs="Times New Roman" w:ascii="Times New Roman" w:hAnsi="Times New Roman"/>
          <w:sz w:val="22"/>
          <w:szCs w:val="22"/>
        </w:rPr>
        <w:t xml:space="preserve"> 118, de 2017, </w:t>
      </w:r>
      <w:r>
        <w:rPr>
          <w:rFonts w:cs="Times New Roman" w:ascii="Times New Roman" w:hAnsi="Times New Roman"/>
          <w:iCs/>
          <w:sz w:val="22"/>
          <w:szCs w:val="22"/>
        </w:rPr>
        <w:t xml:space="preserve">se permite que até </w:t>
      </w:r>
      <w:r>
        <w:rPr>
          <w:rFonts w:cs="Times New Roman" w:ascii="Times New Roman" w:hAnsi="Times New Roman"/>
          <w:sz w:val="22"/>
          <w:szCs w:val="22"/>
        </w:rPr>
        <w:t xml:space="preserve">50% (cinquenta por cento) da taxa mínima de permeabilidade seja cumprida com a </w:t>
      </w:r>
      <w:r>
        <w:rPr>
          <w:rFonts w:cs="Times New Roman" w:ascii="Times New Roman" w:hAnsi="Times New Roman"/>
          <w:sz w:val="22"/>
          <w:szCs w:val="22"/>
          <w:lang w:eastAsia="pt-BR"/>
        </w:rPr>
        <w:t>adoção de reservatório para retenção e reaproveitamento de águas pluviais.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iCs/>
          <w:sz w:val="22"/>
          <w:szCs w:val="22"/>
        </w:rPr>
        <w:t xml:space="preserve">      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  <w:lang w:eastAsia="pt-BR"/>
        </w:rPr>
        <w:t>Art. 7</w:t>
      </w:r>
      <w:r>
        <w:rPr>
          <w:rFonts w:cs="Times New Roman" w:ascii="Times New Roman" w:hAnsi="Times New Roman"/>
          <w:sz w:val="22"/>
          <w:szCs w:val="22"/>
          <w:u w:val="single"/>
          <w:vertAlign w:val="superscript"/>
          <w:lang w:eastAsia="pt-BR"/>
        </w:rPr>
        <w:t>o</w:t>
      </w:r>
      <w:r>
        <w:rPr>
          <w:rFonts w:cs="Times New Roman" w:ascii="Times New Roman" w:hAnsi="Times New Roman"/>
          <w:sz w:val="22"/>
          <w:szCs w:val="22"/>
          <w:lang w:eastAsia="pt-BR"/>
        </w:rPr>
        <w:t xml:space="preserve"> Observado o disposto no artigo antecedente desta Lei Complementar, poderão ser objeto de análise e enquadramento os proprietários dos imóveis que optarem por promover o reaproveitamento das águas pluviais, conforme o caso, nas hipóteses a seguir descritas: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  <w:lang w:eastAsia="pt-BR"/>
        </w:rPr>
        <w:t>I – nos imóveis que adotarem o reservatório para retenção e reaproveitamento de águas pluviais, dimensionados de acordo com os critérios estabelecidos nesta Lei Complementar, em conformidade com o percentual estabelecido no artigo antecedente</w:t>
      </w:r>
      <w:r>
        <w:rPr>
          <w:rFonts w:cs="Times New Roman" w:ascii="Times New Roman" w:hAnsi="Times New Roman"/>
          <w:iCs/>
          <w:sz w:val="22"/>
          <w:szCs w:val="22"/>
        </w:rPr>
        <w:t>;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  <w:lang w:eastAsia="pt-BR"/>
        </w:rPr>
        <w:t>II – o restante da área do lote prevista na legislação e destinada a permeabilidade deverá ser preservada, sob pena do previsto no §2</w:t>
      </w:r>
      <w:r>
        <w:rPr>
          <w:rFonts w:cs="Times New Roman" w:ascii="Times New Roman" w:hAnsi="Times New Roman"/>
          <w:sz w:val="22"/>
          <w:szCs w:val="22"/>
          <w:u w:val="single"/>
          <w:vertAlign w:val="superscript"/>
          <w:lang w:eastAsia="pt-BR"/>
        </w:rPr>
        <w:t>o</w:t>
      </w:r>
      <w:r>
        <w:rPr>
          <w:rFonts w:cs="Times New Roman" w:ascii="Times New Roman" w:hAnsi="Times New Roman"/>
          <w:sz w:val="22"/>
          <w:szCs w:val="22"/>
          <w:lang w:eastAsia="pt-BR"/>
        </w:rPr>
        <w:t> do a</w:t>
      </w:r>
      <w:r>
        <w:rPr>
          <w:rFonts w:cs="Times New Roman" w:ascii="Times New Roman" w:hAnsi="Times New Roman"/>
          <w:iCs/>
          <w:sz w:val="22"/>
          <w:szCs w:val="22"/>
          <w:lang w:eastAsia="pt-BR"/>
        </w:rPr>
        <w:t xml:space="preserve">rtigo 243, </w:t>
      </w:r>
      <w:r>
        <w:rPr>
          <w:rFonts w:cs="Times New Roman" w:ascii="Times New Roman" w:hAnsi="Times New Roman"/>
          <w:sz w:val="22"/>
          <w:szCs w:val="22"/>
          <w:lang w:eastAsia="pt-BR"/>
        </w:rPr>
        <w:t>e no inciso II, e §3</w:t>
      </w:r>
      <w:r>
        <w:rPr>
          <w:rFonts w:cs="Times New Roman" w:ascii="Times New Roman" w:hAnsi="Times New Roman"/>
          <w:sz w:val="22"/>
          <w:szCs w:val="22"/>
          <w:u w:val="single"/>
          <w:vertAlign w:val="superscript"/>
          <w:lang w:eastAsia="pt-BR"/>
        </w:rPr>
        <w:t>o</w:t>
      </w:r>
      <w:r>
        <w:rPr>
          <w:rFonts w:cs="Times New Roman" w:ascii="Times New Roman" w:hAnsi="Times New Roman"/>
          <w:sz w:val="22"/>
          <w:szCs w:val="22"/>
          <w:lang w:eastAsia="pt-BR"/>
        </w:rPr>
        <w:t> do art. 244, todos da Lei Complementar n</w:t>
      </w:r>
      <w:r>
        <w:rPr>
          <w:rFonts w:cs="Times New Roman" w:ascii="Times New Roman" w:hAnsi="Times New Roman"/>
          <w:sz w:val="22"/>
          <w:szCs w:val="22"/>
          <w:u w:val="single"/>
          <w:vertAlign w:val="superscript"/>
          <w:lang w:eastAsia="pt-BR"/>
        </w:rPr>
        <w:t>o</w:t>
      </w:r>
      <w:r>
        <w:rPr>
          <w:rFonts w:cs="Times New Roman" w:ascii="Times New Roman" w:hAnsi="Times New Roman"/>
          <w:sz w:val="22"/>
          <w:szCs w:val="22"/>
          <w:lang w:eastAsia="pt-BR"/>
        </w:rPr>
        <w:t xml:space="preserve"> 118, de 2017</w:t>
      </w:r>
      <w:r>
        <w:rPr>
          <w:rFonts w:cs="Times New Roman" w:ascii="Times New Roman" w:hAnsi="Times New Roman"/>
          <w:iCs/>
          <w:sz w:val="22"/>
          <w:szCs w:val="22"/>
          <w:lang w:eastAsia="pt-BR"/>
        </w:rPr>
        <w:t xml:space="preserve">, </w:t>
      </w:r>
      <w:r>
        <w:rPr>
          <w:rFonts w:cs="Times New Roman" w:ascii="Times New Roman" w:hAnsi="Times New Roman"/>
          <w:sz w:val="22"/>
          <w:szCs w:val="22"/>
          <w:lang w:eastAsia="pt-BR"/>
        </w:rPr>
        <w:t>por metro quadrado não preservado;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  <w:lang w:eastAsia="pt-BR"/>
        </w:rPr>
        <w:t>III – para aderir ao instituído nesta Lei Complementar, deverá haver solicitação expressa do proprietário do imóvel em requerimento protocolado nos meios disponibilizados pelo Município, com informação nos seguintes documentos: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</w:rPr>
        <w:t>a)  no projeto de implantação hidrossanitária;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</w:rPr>
        <w:t>b) no protocolo de licenciamento da edificação, com a localização do reservatório, bem como o seu volume;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i/>
          <w:i/>
          <w:iCs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c) na ART (Anotação de Responsabilidade Técnica), RRT (Registro de Responsabilidade Técnica) ou outro documento emitido por Conselho de Classe, sobre a responsabilidade técnica pelo projeto e execução deste serviço.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  <w:lang w:eastAsia="pt-BR"/>
        </w:rPr>
        <w:t>IV – para fins de dimensionamento mínimo de reservação deverá ser observado que, em razão da média pluviométrica para a cidade de Santa Rosa, será considerada a compensação de cada 10m² (dez metros quadrados) de área, que não atendem a permeabilidade, estabelecendo a captação mínima de 500 (quinhentos) litros, este cálculo será estendido proporcionalmente às demais metragens, tanto superiores quanto inferiores, ao estabelecido neste inciso;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  <w:lang w:eastAsia="pt-BR"/>
        </w:rPr>
        <w:t>V – a implantação deste mecanismo de captação de águas pluviais deverá armazenar águas coletadas para posterior utilização em atividades que não exijam o uso de água tratada, tais como: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</w:rPr>
        <w:t>a) irrigação de jardins e hortas;</w:t>
      </w:r>
    </w:p>
    <w:p>
      <w:pPr>
        <w:pStyle w:val="Normal"/>
        <w:spacing w:before="0" w:after="0"/>
        <w:ind w:left="851" w:hanging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b) lavagem de roupas;</w:t>
      </w:r>
    </w:p>
    <w:p>
      <w:pPr>
        <w:pStyle w:val="Normal"/>
        <w:spacing w:before="0" w:after="0"/>
        <w:ind w:left="851" w:hanging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c) lavagem de veículos;</w:t>
      </w:r>
    </w:p>
    <w:p>
      <w:pPr>
        <w:pStyle w:val="Normal"/>
        <w:spacing w:before="0" w:after="0"/>
        <w:ind w:left="851" w:hanging="0"/>
        <w:contextualSpacing/>
        <w:jc w:val="both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</w:rPr>
        <w:t>d) lavagem de esquadrias, calçadas, pisos, entre outros.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  <w:lang w:eastAsia="pt-BR"/>
        </w:rPr>
        <w:t>VI – Será de responsabilidade do proprietário do imóvel a contratação de responsável técnico habilitado que realizará: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</w:rPr>
        <w:t xml:space="preserve">a) o projeto de captação, o dimensionamento do armazenamento, se diferente do mínimo estabelecido nesta Lei </w:t>
      </w:r>
      <w:r>
        <w:rPr>
          <w:rFonts w:cs="Times New Roman" w:ascii="Times New Roman" w:hAnsi="Times New Roman"/>
          <w:sz w:val="22"/>
          <w:szCs w:val="22"/>
          <w:lang w:eastAsia="pt-BR"/>
        </w:rPr>
        <w:t>Complementar</w:t>
      </w:r>
      <w:r>
        <w:rPr>
          <w:rFonts w:cs="Times New Roman" w:ascii="Times New Roman" w:hAnsi="Times New Roman"/>
          <w:sz w:val="22"/>
          <w:szCs w:val="22"/>
        </w:rPr>
        <w:t>, e das redes de distribuição;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b) o tratamento destas águas servidas; 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</w:rPr>
        <w:t>c) a identificação destas redes e pontos de consumo, com a designação de “água não potável”.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  <w:lang w:eastAsia="pt-BR"/>
        </w:rPr>
        <w:t xml:space="preserve">VII – todos os tipos de edificações que necessitem regularizar a taxa de permeabilidade poderão submeter seu pedido com base nesta Lei Complementar, sendo facultado ao proprietário do imóvel efetuar a adequação com o reaproveitamento das águas pluviais ou se submeter aos ditames da </w:t>
      </w:r>
      <w:r>
        <w:rPr>
          <w:rFonts w:cs="Times New Roman" w:ascii="Times New Roman" w:hAnsi="Times New Roman"/>
          <w:sz w:val="22"/>
          <w:szCs w:val="22"/>
        </w:rPr>
        <w:t>Lei Complementar n</w:t>
      </w:r>
      <w:r>
        <w:rPr>
          <w:rFonts w:cs="Times New Roman" w:ascii="Times New Roman" w:hAnsi="Times New Roman"/>
          <w:sz w:val="22"/>
          <w:szCs w:val="22"/>
          <w:u w:val="single"/>
          <w:vertAlign w:val="superscript"/>
        </w:rPr>
        <w:t>o</w:t>
      </w:r>
      <w:r>
        <w:rPr>
          <w:rFonts w:cs="Times New Roman" w:ascii="Times New Roman" w:hAnsi="Times New Roman"/>
          <w:sz w:val="22"/>
          <w:szCs w:val="22"/>
        </w:rPr>
        <w:t xml:space="preserve"> 118, de 2017.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  <w:lang w:eastAsia="pt-BR"/>
        </w:rPr>
      </w:r>
    </w:p>
    <w:p>
      <w:pPr>
        <w:pStyle w:val="Normal"/>
        <w:jc w:val="center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  <w:lang w:eastAsia="pt-BR"/>
        </w:rPr>
        <w:t>CAPÍTULO V</w:t>
      </w:r>
    </w:p>
    <w:p>
      <w:pPr>
        <w:pStyle w:val="Normal"/>
        <w:jc w:val="center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  <w:lang w:eastAsia="pt-BR"/>
        </w:rPr>
        <w:t xml:space="preserve">DAS DISPOSIÇÕES FINAIS E TRANSITÓRIAS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  <w:lang w:eastAsia="pt-BR"/>
        </w:rPr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  <w:lang w:eastAsia="pt-BR"/>
        </w:rPr>
        <w:t>Art. 8</w:t>
      </w:r>
      <w:r>
        <w:rPr>
          <w:rFonts w:cs="Times New Roman" w:ascii="Times New Roman" w:hAnsi="Times New Roman"/>
          <w:sz w:val="22"/>
          <w:szCs w:val="22"/>
          <w:u w:val="single"/>
          <w:vertAlign w:val="superscript"/>
          <w:lang w:eastAsia="pt-BR"/>
        </w:rPr>
        <w:t>o</w:t>
      </w:r>
      <w:r>
        <w:rPr>
          <w:rFonts w:cs="Times New Roman" w:ascii="Times New Roman" w:hAnsi="Times New Roman"/>
          <w:sz w:val="22"/>
          <w:szCs w:val="22"/>
          <w:lang w:eastAsia="pt-BR"/>
        </w:rPr>
        <w:t xml:space="preserve"> O Poder Executivo, por intermédio da Secretaria Municipal de Administração e Fazenda ou órgão que lhe vier a substituir na sua estrutura administrativa, destinará 50% (cinquenta por cento) do montante de valores oriundos das multas de que trata esta Lei Complementar ao </w:t>
      </w:r>
      <w:r>
        <w:rPr>
          <w:rFonts w:cs="Times New Roman" w:ascii="Times New Roman" w:hAnsi="Times New Roman"/>
          <w:sz w:val="22"/>
          <w:szCs w:val="22"/>
        </w:rPr>
        <w:t xml:space="preserve">Fundo Municipal de Habitação, Planejamento e Gestão Participativa de que tratam </w:t>
      </w:r>
      <w:r>
        <w:rPr>
          <w:rFonts w:cs="Times New Roman" w:ascii="Times New Roman" w:hAnsi="Times New Roman"/>
          <w:iCs/>
          <w:sz w:val="22"/>
          <w:szCs w:val="22"/>
        </w:rPr>
        <w:t xml:space="preserve">a </w:t>
      </w:r>
      <w:r>
        <w:rPr>
          <w:rFonts w:cs="Times New Roman" w:ascii="Times New Roman" w:hAnsi="Times New Roman"/>
          <w:sz w:val="22"/>
          <w:szCs w:val="22"/>
        </w:rPr>
        <w:t>Lei Complementar n</w:t>
      </w:r>
      <w:r>
        <w:rPr>
          <w:rFonts w:cs="Times New Roman" w:ascii="Times New Roman" w:hAnsi="Times New Roman"/>
          <w:sz w:val="22"/>
          <w:szCs w:val="22"/>
          <w:u w:val="single"/>
          <w:vertAlign w:val="superscript"/>
        </w:rPr>
        <w:t>o</w:t>
      </w:r>
      <w:r>
        <w:rPr>
          <w:rFonts w:cs="Times New Roman" w:ascii="Times New Roman" w:hAnsi="Times New Roman"/>
          <w:sz w:val="22"/>
          <w:szCs w:val="22"/>
        </w:rPr>
        <w:t xml:space="preserve"> 118, de 2017, a </w:t>
      </w:r>
      <w:r>
        <w:rPr>
          <w:rFonts w:cs="Times New Roman" w:ascii="Times New Roman" w:hAnsi="Times New Roman"/>
          <w:bCs/>
          <w:sz w:val="22"/>
          <w:szCs w:val="22"/>
          <w:lang w:eastAsia="pt-BR"/>
        </w:rPr>
        <w:t xml:space="preserve">Lei </w:t>
      </w:r>
      <w:r>
        <w:rPr>
          <w:rFonts w:cs="Times New Roman" w:ascii="Times New Roman" w:hAnsi="Times New Roman"/>
          <w:sz w:val="22"/>
          <w:szCs w:val="22"/>
        </w:rPr>
        <w:t>n</w:t>
      </w:r>
      <w:r>
        <w:rPr>
          <w:rFonts w:cs="Times New Roman" w:ascii="Times New Roman" w:hAnsi="Times New Roman"/>
          <w:sz w:val="22"/>
          <w:szCs w:val="22"/>
          <w:u w:val="single"/>
          <w:vertAlign w:val="superscript"/>
        </w:rPr>
        <w:t>o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sz w:val="22"/>
          <w:szCs w:val="22"/>
          <w:lang w:eastAsia="pt-BR"/>
        </w:rPr>
        <w:t>4.557, de 21 de agosto de 2009 e suas alterações, sendo que o restante de 50% (cinquenta por cento) será destinado ao caixa geral</w:t>
      </w:r>
      <w:r>
        <w:rPr>
          <w:rFonts w:cs="Times New Roman" w:ascii="Times New Roman" w:hAnsi="Times New Roman"/>
          <w:sz w:val="22"/>
          <w:szCs w:val="22"/>
          <w:lang w:eastAsia="pt-BR"/>
        </w:rPr>
        <w:t>.</w:t>
      </w:r>
    </w:p>
    <w:p>
      <w:pPr>
        <w:pStyle w:val="Normal"/>
        <w:spacing w:before="0" w:after="0"/>
        <w:ind w:right="-57" w:firstLine="851"/>
        <w:contextualSpacing/>
        <w:jc w:val="both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  <w:lang w:eastAsia="pt-BR"/>
        </w:rPr>
        <w:t>Art. 9</w:t>
      </w:r>
      <w:r>
        <w:rPr>
          <w:rFonts w:cs="Times New Roman" w:ascii="Times New Roman" w:hAnsi="Times New Roman"/>
          <w:sz w:val="22"/>
          <w:szCs w:val="22"/>
          <w:u w:val="single"/>
          <w:vertAlign w:val="superscript"/>
          <w:lang w:eastAsia="pt-BR"/>
        </w:rPr>
        <w:t>o</w:t>
      </w:r>
      <w:r>
        <w:rPr>
          <w:rFonts w:cs="Times New Roman" w:ascii="Times New Roman" w:hAnsi="Times New Roman"/>
          <w:sz w:val="22"/>
          <w:szCs w:val="22"/>
          <w:lang w:eastAsia="pt-BR"/>
        </w:rPr>
        <w:t> Os proprietários de imóveis que não apresentarem pedido de legalização por ocupação irregular do passeio público no período de vigência desta Lei Complementar estarão sujeitos a multas e sanções, podendo ser autuados, determinada a retirada do obstáculo e se for o caso demolição, assim como a responsabilização pela recuperação do passeio público ocupado de maneira irregular.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  <w:lang w:eastAsia="pt-BR"/>
        </w:rPr>
        <w:t xml:space="preserve">Art. 10. Será dada ampla publicidade da campanha de incentivo a </w:t>
      </w:r>
      <w:bookmarkStart w:id="12" w:name="_Hlk73546808"/>
      <w:r>
        <w:rPr>
          <w:rFonts w:cs="Times New Roman" w:ascii="Times New Roman" w:hAnsi="Times New Roman"/>
          <w:sz w:val="22"/>
          <w:szCs w:val="22"/>
          <w:lang w:eastAsia="pt-BR"/>
        </w:rPr>
        <w:t>legalização</w:t>
      </w:r>
      <w:bookmarkEnd w:id="12"/>
      <w:r>
        <w:rPr>
          <w:rFonts w:cs="Times New Roman" w:ascii="Times New Roman" w:hAnsi="Times New Roman"/>
          <w:sz w:val="22"/>
          <w:szCs w:val="22"/>
          <w:lang w:eastAsia="pt-BR"/>
        </w:rPr>
        <w:t xml:space="preserve"> de imóveis de que trata esta Lei Complementar, cabendo ao Poder Executivo, por intermédio de seus órgãos, sem prejuízo da adoção de outras ações correlatas, efetivar as seguintes providências: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  <w:lang w:eastAsia="pt-BR"/>
        </w:rPr>
        <w:t>I – enviar informações acerca das disposições desta Lei Complementar aos proprietários dos imóveis identificados como passíveis de legalização;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  <w:lang w:eastAsia="pt-BR"/>
        </w:rPr>
        <w:t>II – veiculação de informações nos carnês do Imposto sobre a Propriedade Predial e Territorial Urbana – IPTU;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  <w:lang w:eastAsia="pt-BR"/>
        </w:rPr>
        <w:t>III – desenvolvimento de outros tipos de informes publicitários.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  <w:lang w:eastAsia="pt-BR"/>
        </w:rPr>
        <w:t>Art. 11. </w:t>
      </w:r>
      <w:r>
        <w:rPr>
          <w:rFonts w:cs="Times New Roman" w:ascii="Times New Roman" w:hAnsi="Times New Roman"/>
          <w:sz w:val="22"/>
          <w:szCs w:val="22"/>
        </w:rPr>
        <w:t xml:space="preserve">As despesas decorrentes desta Lei </w:t>
      </w:r>
      <w:r>
        <w:rPr>
          <w:rFonts w:cs="Times New Roman" w:ascii="Times New Roman" w:hAnsi="Times New Roman"/>
          <w:sz w:val="22"/>
          <w:szCs w:val="22"/>
          <w:lang w:eastAsia="pt-BR"/>
        </w:rPr>
        <w:t>Complementar</w:t>
      </w:r>
      <w:r>
        <w:rPr>
          <w:rFonts w:cs="Times New Roman" w:ascii="Times New Roman" w:hAnsi="Times New Roman"/>
          <w:sz w:val="22"/>
          <w:szCs w:val="22"/>
        </w:rPr>
        <w:t xml:space="preserve"> correrão por conta de dotações orçamentárias próprias do Poder Executivo do Município de Santa Rosa.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Art. 12. </w:t>
      </w:r>
      <w:r>
        <w:rPr>
          <w:rFonts w:cs="Times New Roman" w:ascii="Times New Roman" w:hAnsi="Times New Roman"/>
          <w:bCs/>
          <w:sz w:val="22"/>
          <w:szCs w:val="22"/>
        </w:rPr>
        <w:t xml:space="preserve">O Poder Executivo aplicará, conforme a hipótese, as disposições da </w:t>
      </w:r>
      <w:r>
        <w:rPr>
          <w:rFonts w:cs="Times New Roman" w:ascii="Times New Roman" w:hAnsi="Times New Roman"/>
          <w:sz w:val="22"/>
          <w:szCs w:val="22"/>
        </w:rPr>
        <w:t>Lei Federal n</w:t>
      </w:r>
      <w:r>
        <w:rPr>
          <w:rFonts w:cs="Times New Roman" w:ascii="Times New Roman" w:hAnsi="Times New Roman"/>
          <w:sz w:val="22"/>
          <w:szCs w:val="22"/>
          <w:u w:val="single"/>
          <w:vertAlign w:val="superscript"/>
        </w:rPr>
        <w:t>o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sz w:val="22"/>
          <w:szCs w:val="22"/>
        </w:rPr>
        <w:t>13.726, de 8 de outubro de 2018, a</w:t>
      </w:r>
      <w:r>
        <w:rPr>
          <w:rFonts w:cs="Times New Roman" w:ascii="Times New Roman" w:hAnsi="Times New Roman"/>
          <w:sz w:val="22"/>
          <w:szCs w:val="22"/>
        </w:rPr>
        <w:t xml:space="preserve">os documentos e demais expedientes dos processos administrativos relacionados com as ações decorrentes desta Lei </w:t>
      </w:r>
      <w:r>
        <w:rPr>
          <w:rFonts w:cs="Times New Roman" w:ascii="Times New Roman" w:hAnsi="Times New Roman"/>
          <w:sz w:val="22"/>
          <w:szCs w:val="22"/>
          <w:lang w:eastAsia="pt-BR"/>
        </w:rPr>
        <w:t>Complementar</w:t>
      </w:r>
      <w:r>
        <w:rPr>
          <w:rFonts w:cs="Times New Roman" w:ascii="Times New Roman" w:hAnsi="Times New Roman"/>
          <w:sz w:val="22"/>
          <w:szCs w:val="22"/>
        </w:rPr>
        <w:t>.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Art. 13.</w:t>
      </w:r>
      <w:r>
        <w:rPr>
          <w:rFonts w:cs="Times New Roman" w:ascii="Times New Roman" w:hAnsi="Times New Roman"/>
          <w:bCs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 xml:space="preserve">O Poder Executivo regulamentará, no que couber, esta Lei </w:t>
      </w:r>
      <w:r>
        <w:rPr>
          <w:rFonts w:cs="Times New Roman" w:ascii="Times New Roman" w:hAnsi="Times New Roman"/>
          <w:sz w:val="22"/>
          <w:szCs w:val="22"/>
          <w:lang w:eastAsia="pt-BR"/>
        </w:rPr>
        <w:t>Complementar</w:t>
      </w:r>
      <w:r>
        <w:rPr>
          <w:rFonts w:cs="Times New Roman" w:ascii="Times New Roman" w:hAnsi="Times New Roman"/>
          <w:sz w:val="22"/>
          <w:szCs w:val="22"/>
        </w:rPr>
        <w:t>.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Art. 14.</w:t>
      </w:r>
      <w:r>
        <w:rPr>
          <w:rFonts w:cs="Times New Roman" w:ascii="Times New Roman" w:hAnsi="Times New Roman"/>
          <w:bCs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 xml:space="preserve">Esta Lei </w:t>
      </w:r>
      <w:r>
        <w:rPr>
          <w:rFonts w:cs="Times New Roman" w:ascii="Times New Roman" w:hAnsi="Times New Roman"/>
          <w:sz w:val="22"/>
          <w:szCs w:val="22"/>
          <w:lang w:eastAsia="pt-BR"/>
        </w:rPr>
        <w:t>Complementar</w:t>
      </w:r>
      <w:r>
        <w:rPr>
          <w:rFonts w:cs="Times New Roman" w:ascii="Times New Roman" w:hAnsi="Times New Roman"/>
          <w:sz w:val="22"/>
          <w:szCs w:val="22"/>
        </w:rPr>
        <w:t xml:space="preserve"> entra em vigor na data de sua publicação, vigorando pelo período de 4 (quatro) anos.</w:t>
      </w:r>
    </w:p>
    <w:p>
      <w:pPr>
        <w:pStyle w:val="Normal"/>
        <w:spacing w:before="0" w:after="0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spacing w:before="0" w:after="0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GABINETE DO PREFEITO MUNICIPAL DE SANTA ROSA, EM 15 DE JULHO DE 2021.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spacing w:before="0" w:after="0"/>
        <w:ind w:left="67" w:firstLine="5746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ANDERSON MANTEI,</w:t>
      </w:r>
    </w:p>
    <w:p>
      <w:pPr>
        <w:pStyle w:val="Normal"/>
        <w:spacing w:before="0" w:after="0"/>
        <w:ind w:left="2193" w:firstLine="347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 xml:space="preserve">       </w:t>
      </w:r>
      <w:r>
        <w:rPr>
          <w:rFonts w:cs="Times New Roman" w:ascii="Times New Roman" w:hAnsi="Times New Roman"/>
          <w:sz w:val="23"/>
          <w:szCs w:val="23"/>
        </w:rPr>
        <w:t>Prefeito Municipal.</w:t>
      </w:r>
    </w:p>
    <w:p>
      <w:pPr>
        <w:pStyle w:val="Normal"/>
        <w:spacing w:before="0" w:after="0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Registre-se e publique-se.</w:t>
      </w:r>
    </w:p>
    <w:p>
      <w:pPr>
        <w:pStyle w:val="Normal"/>
        <w:spacing w:before="0" w:after="0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spacing w:before="0" w:after="0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spacing w:before="0" w:after="0"/>
        <w:ind w:firstLine="851"/>
        <w:contextualSpacing/>
        <w:jc w:val="both"/>
        <w:rPr>
          <w:rFonts w:ascii="Times New Roman" w:hAnsi="Times New Roman" w:cs="Times New Roman"/>
          <w:bCs/>
          <w:sz w:val="23"/>
          <w:szCs w:val="23"/>
          <w:shd w:fill="FFFFFF" w:val="clear"/>
        </w:rPr>
      </w:pPr>
      <w:r>
        <w:rPr>
          <w:rFonts w:cs="Times New Roman" w:ascii="Times New Roman" w:hAnsi="Times New Roman"/>
          <w:bCs/>
          <w:sz w:val="23"/>
          <w:szCs w:val="23"/>
          <w:shd w:fill="FFFFFF" w:val="clear"/>
        </w:rPr>
        <w:t>ALDEMIR EDUARDO ULRICH,</w:t>
      </w:r>
    </w:p>
    <w:p>
      <w:pPr>
        <w:pStyle w:val="Normal"/>
        <w:spacing w:before="0" w:after="0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Vice-Prefeito Municipal.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284" w:top="1440" w:footer="227" w:bottom="680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Century Schoolboo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Times New Roman" w:hAnsi="Times New Roman" w:cs="Times New Roman"/>
        <w:sz w:val="22"/>
        <w:szCs w:val="22"/>
      </w:rPr>
    </w:pPr>
    <w:r>
      <w:rPr>
        <w:rFonts w:cs="Times New Roman" w:ascii="Times New Roman" w:hAnsi="Times New Roman"/>
        <w:sz w:val="22"/>
        <w:szCs w:val="22"/>
      </w:rPr>
      <w:t xml:space="preserve">Centro Administrativo Municipal </w:t>
    </w:r>
    <w:r>
      <w:rPr>
        <w:rFonts w:eastAsia="Arial" w:cs="Times New Roman" w:ascii="Times New Roman" w:hAnsi="Times New Roman"/>
        <w:sz w:val="22"/>
        <w:szCs w:val="22"/>
      </w:rPr>
      <w:t xml:space="preserve">– </w:t>
    </w:r>
    <w:r>
      <w:rPr>
        <w:rFonts w:cs="Times New Roman" w:ascii="Times New Roman" w:hAnsi="Times New Roman"/>
        <w:sz w:val="22"/>
        <w:szCs w:val="22"/>
      </w:rPr>
      <w:t xml:space="preserve">Palácio </w:t>
    </w:r>
    <w:r>
      <w:rPr>
        <w:rFonts w:cs="Times New Roman" w:ascii="Times New Roman" w:hAnsi="Times New Roman"/>
        <w:i/>
        <w:iCs/>
        <w:sz w:val="22"/>
        <w:szCs w:val="22"/>
      </w:rPr>
      <w:t>“14 de Julho”</w:t>
    </w:r>
  </w:p>
  <w:p>
    <w:pPr>
      <w:pStyle w:val="Rodap"/>
      <w:jc w:val="center"/>
      <w:rPr>
        <w:sz w:val="22"/>
        <w:szCs w:val="22"/>
      </w:rPr>
    </w:pPr>
    <w:r>
      <w:rPr>
        <w:sz w:val="22"/>
        <w:szCs w:val="22"/>
      </w:rPr>
      <w:t>Av.</w:t>
    </w:r>
    <w:r>
      <w:rPr>
        <w:rFonts w:eastAsia="Arial"/>
        <w:sz w:val="22"/>
        <w:szCs w:val="22"/>
      </w:rPr>
      <w:t xml:space="preserve"> </w:t>
    </w:r>
    <w:r>
      <w:rPr>
        <w:sz w:val="22"/>
        <w:szCs w:val="22"/>
      </w:rPr>
      <w:t>Expedicionário</w:t>
    </w:r>
    <w:r>
      <w:rPr>
        <w:rFonts w:eastAsia="Arial"/>
        <w:sz w:val="22"/>
        <w:szCs w:val="22"/>
      </w:rPr>
      <w:t xml:space="preserve"> </w:t>
    </w:r>
    <w:r>
      <w:rPr>
        <w:sz w:val="22"/>
        <w:szCs w:val="22"/>
      </w:rPr>
      <w:t>Weber,</w:t>
    </w:r>
    <w:r>
      <w:rPr>
        <w:rFonts w:eastAsia="Arial"/>
        <w:sz w:val="22"/>
        <w:szCs w:val="22"/>
      </w:rPr>
      <w:t xml:space="preserve"> </w:t>
    </w:r>
    <w:r>
      <w:rPr>
        <w:sz w:val="22"/>
        <w:szCs w:val="22"/>
      </w:rPr>
      <w:t>2983</w:t>
    </w:r>
    <w:r>
      <w:rPr>
        <w:rFonts w:eastAsia="Arial"/>
        <w:sz w:val="22"/>
        <w:szCs w:val="22"/>
      </w:rPr>
      <w:t xml:space="preserve"> – </w:t>
    </w:r>
    <w:r>
      <w:rPr>
        <w:sz w:val="22"/>
        <w:szCs w:val="22"/>
      </w:rPr>
      <w:t>CEP</w:t>
    </w:r>
    <w:r>
      <w:rPr>
        <w:rFonts w:eastAsia="Arial"/>
        <w:sz w:val="22"/>
        <w:szCs w:val="22"/>
      </w:rPr>
      <w:t xml:space="preserve"> </w:t>
    </w:r>
    <w:r>
      <w:rPr>
        <w:sz w:val="22"/>
        <w:szCs w:val="22"/>
      </w:rPr>
      <w:t>98789-000</w:t>
    </w:r>
    <w:r>
      <w:rPr>
        <w:rFonts w:eastAsia="Arial"/>
        <w:sz w:val="22"/>
        <w:szCs w:val="22"/>
      </w:rPr>
      <w:t xml:space="preserve"> – </w:t>
    </w:r>
    <w:r>
      <w:rPr>
        <w:sz w:val="22"/>
        <w:szCs w:val="22"/>
      </w:rPr>
      <w:t>Santa</w:t>
    </w:r>
    <w:r>
      <w:rPr>
        <w:rFonts w:eastAsia="Arial"/>
        <w:sz w:val="22"/>
        <w:szCs w:val="22"/>
      </w:rPr>
      <w:t xml:space="preserve"> </w:t>
    </w:r>
    <w:r>
      <w:rPr>
        <w:sz w:val="22"/>
        <w:szCs w:val="22"/>
      </w:rPr>
      <w:t>Rosa</w:t>
    </w:r>
    <w:r>
      <w:rPr>
        <w:rFonts w:eastAsia="Arial"/>
        <w:sz w:val="22"/>
        <w:szCs w:val="22"/>
      </w:rPr>
      <w:t xml:space="preserve"> – </w:t>
    </w:r>
    <w:r>
      <w:rPr>
        <w:sz w:val="22"/>
        <w:szCs w:val="22"/>
      </w:rPr>
      <w:t>RS</w:t>
    </w:r>
  </w:p>
  <w:p>
    <w:pPr>
      <w:pStyle w:val="Rodap"/>
      <w:jc w:val="center"/>
      <w:rPr>
        <w:sz w:val="22"/>
        <w:szCs w:val="22"/>
      </w:rPr>
    </w:pPr>
    <w:r>
      <w:rPr>
        <w:sz w:val="22"/>
        <w:szCs w:val="22"/>
      </w:rPr>
      <w:t>Fone</w:t>
    </w:r>
    <w:r>
      <w:rPr>
        <w:rFonts w:eastAsia="Arial"/>
        <w:sz w:val="22"/>
        <w:szCs w:val="22"/>
      </w:rPr>
      <w:t xml:space="preserve"> </w:t>
    </w:r>
    <w:r>
      <w:rPr>
        <w:sz w:val="22"/>
        <w:szCs w:val="22"/>
      </w:rPr>
      <w:t>(55)</w:t>
    </w:r>
    <w:r>
      <w:rPr>
        <w:rFonts w:eastAsia="Arial"/>
        <w:sz w:val="22"/>
        <w:szCs w:val="22"/>
      </w:rPr>
      <w:t xml:space="preserve"> </w:t>
    </w:r>
    <w:r>
      <w:rPr>
        <w:sz w:val="22"/>
        <w:szCs w:val="22"/>
      </w:rPr>
      <w:t>3511</w:t>
    </w:r>
    <w:r>
      <w:rPr>
        <w:rFonts w:eastAsia="Arial"/>
        <w:sz w:val="22"/>
        <w:szCs w:val="22"/>
      </w:rPr>
      <w:t xml:space="preserve"> </w:t>
    </w:r>
    <w:r>
      <w:rPr>
        <w:sz w:val="22"/>
        <w:szCs w:val="22"/>
      </w:rPr>
      <w:t>5100</w:t>
    </w:r>
    <w:r>
      <w:rPr>
        <w:rFonts w:eastAsia="Arial"/>
        <w:sz w:val="22"/>
        <w:szCs w:val="22"/>
      </w:rPr>
      <w:t xml:space="preserve"> – </w:t>
    </w:r>
    <w:r>
      <w:rPr>
        <w:sz w:val="22"/>
        <w:szCs w:val="22"/>
      </w:rPr>
      <w:t>Fax</w:t>
    </w:r>
    <w:r>
      <w:rPr>
        <w:rFonts w:eastAsia="Arial"/>
        <w:sz w:val="22"/>
        <w:szCs w:val="22"/>
      </w:rPr>
      <w:t xml:space="preserve"> </w:t>
    </w:r>
    <w:r>
      <w:rPr>
        <w:sz w:val="22"/>
        <w:szCs w:val="22"/>
      </w:rPr>
      <w:t>(55)</w:t>
    </w:r>
    <w:r>
      <w:rPr>
        <w:rFonts w:eastAsia="Arial"/>
        <w:sz w:val="22"/>
        <w:szCs w:val="22"/>
      </w:rPr>
      <w:t xml:space="preserve"> </w:t>
    </w:r>
    <w:r>
      <w:rPr>
        <w:sz w:val="22"/>
        <w:szCs w:val="22"/>
      </w:rPr>
      <w:t>3511</w:t>
    </w:r>
    <w:r>
      <w:rPr>
        <w:rFonts w:eastAsia="Arial"/>
        <w:sz w:val="22"/>
        <w:szCs w:val="22"/>
      </w:rPr>
      <w:t xml:space="preserve"> </w:t>
    </w:r>
    <w:r>
      <w:rPr>
        <w:sz w:val="22"/>
        <w:szCs w:val="22"/>
      </w:rPr>
      <w:t>7621</w:t>
    </w:r>
  </w:p>
  <w:p>
    <w:pPr>
      <w:pStyle w:val="Rodap"/>
      <w:jc w:val="center"/>
      <w:rPr>
        <w:b/>
        <w:b/>
        <w:i/>
        <w:i/>
      </w:rPr>
    </w:pPr>
    <w:r>
      <w:rPr>
        <w:b/>
        <w:i/>
        <w:sz w:val="20"/>
      </w:rPr>
      <w:t>"DOE ÓRGÃOS, DOE SANGUE: SALVE VIDAS"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sz w:val="20"/>
      </w:rPr>
    </w:pPr>
    <w:r>
      <w:drawing>
        <wp:anchor behindDoc="1" distT="0" distB="0" distL="114935" distR="114935" simplePos="0" locked="0" layoutInCell="0" allowOverlap="1" relativeHeight="6">
          <wp:simplePos x="0" y="0"/>
          <wp:positionH relativeFrom="margin">
            <wp:posOffset>2762250</wp:posOffset>
          </wp:positionH>
          <wp:positionV relativeFrom="paragraph">
            <wp:posOffset>28575</wp:posOffset>
          </wp:positionV>
          <wp:extent cx="506095" cy="622935"/>
          <wp:effectExtent l="0" t="0" r="0" b="0"/>
          <wp:wrapTopAndBottom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622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>M</w:t>
    </w:r>
    <w:r>
      <w:rPr>
        <w:sz w:val="20"/>
      </w:rPr>
      <w:t>UNICÍPIO</w:t>
    </w:r>
    <w:r>
      <w:rPr>
        <w:rFonts w:eastAsia="Arial"/>
        <w:sz w:val="20"/>
      </w:rPr>
      <w:t xml:space="preserve"> </w:t>
    </w:r>
    <w:r>
      <w:rPr>
        <w:sz w:val="20"/>
      </w:rPr>
      <w:t>DE</w:t>
    </w:r>
    <w:r>
      <w:rPr>
        <w:rFonts w:eastAsia="Arial"/>
        <w:sz w:val="20"/>
      </w:rPr>
      <w:t xml:space="preserve"> </w:t>
    </w:r>
    <w:r>
      <w:rPr>
        <w:sz w:val="20"/>
      </w:rPr>
      <w:t>SANTA</w:t>
    </w:r>
    <w:r>
      <w:rPr>
        <w:rFonts w:eastAsia="Arial"/>
        <w:sz w:val="20"/>
      </w:rPr>
      <w:t xml:space="preserve"> </w:t>
    </w:r>
    <w:r>
      <w:rPr>
        <w:sz w:val="20"/>
      </w:rPr>
      <w:t>ROSA</w:t>
    </w:r>
  </w:p>
  <w:p>
    <w:pPr>
      <w:pStyle w:val="Cabealho"/>
      <w:spacing w:before="0" w:after="0"/>
      <w:contextualSpacing/>
      <w:jc w:val="center"/>
      <w:rPr/>
    </w:pPr>
    <w:r>
      <w:rPr>
        <w:b/>
        <w:sz w:val="20"/>
      </w:rPr>
      <w:t>PODER EXECUTIVO</w:t>
    </w:r>
  </w:p>
</w:hdr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auto"/>
      <w:kern w:val="2"/>
      <w:sz w:val="24"/>
      <w:szCs w:val="20"/>
      <w:lang w:eastAsia="zh-CN" w:val="pt-BR" w:bidi="ar-SA"/>
    </w:rPr>
  </w:style>
  <w:style w:type="paragraph" w:styleId="Ttulo1">
    <w:name w:val="Heading 1"/>
    <w:basedOn w:val="Normal"/>
    <w:next w:val="Normal"/>
    <w:qFormat/>
    <w:pPr>
      <w:keepNext w:val="true"/>
      <w:tabs>
        <w:tab w:val="clear" w:pos="709"/>
        <w:tab w:val="left" w:pos="0" w:leader="none"/>
      </w:tabs>
      <w:ind w:left="432" w:hanging="432"/>
      <w:jc w:val="center"/>
      <w:outlineLvl w:val="0"/>
    </w:pPr>
    <w:rPr>
      <w:rFonts w:ascii="Times New Roman" w:hAnsi="Times New Roman" w:cs="Times New Roman"/>
      <w:b/>
      <w:bCs/>
      <w:szCs w:val="24"/>
      <w:u w:val="single"/>
    </w:rPr>
  </w:style>
  <w:style w:type="paragraph" w:styleId="Ttulo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 w:val="true"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 w:val="true"/>
      <w:tabs>
        <w:tab w:val="clear" w:pos="709"/>
        <w:tab w:val="left" w:pos="0" w:leader="none"/>
      </w:tabs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tulo7">
    <w:name w:val="Heading 7"/>
    <w:basedOn w:val="Normal"/>
    <w:next w:val="Normal"/>
    <w:qFormat/>
    <w:pPr>
      <w:tabs>
        <w:tab w:val="clear" w:pos="709"/>
        <w:tab w:val="left" w:pos="0" w:leader="none"/>
      </w:tabs>
      <w:spacing w:before="240" w:after="60"/>
      <w:ind w:left="1296" w:hanging="1296"/>
      <w:outlineLvl w:val="6"/>
    </w:pPr>
    <w:rPr>
      <w:rFonts w:ascii="Times New Roman" w:hAnsi="Times New Roman" w:cs="Times New Roman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3z0" w:customStyle="1">
    <w:name w:val="WW8Num3z0"/>
    <w:qFormat/>
    <w:rPr>
      <w:rFonts w:ascii="Times New Roman" w:hAnsi="Times New Roman" w:eastAsia="Times New Roman" w:cs="Times New Roman"/>
      <w:b/>
    </w:rPr>
  </w:style>
  <w:style w:type="character" w:styleId="WW8Num4z0" w:customStyle="1">
    <w:name w:val="WW8Num4z0"/>
    <w:qFormat/>
    <w:rPr>
      <w:rFonts w:ascii="Times New Roman" w:hAnsi="Times New Roman" w:eastAsia="Times New Roman" w:cs="Times New Roman"/>
      <w:b/>
      <w:u w:val="single"/>
    </w:rPr>
  </w:style>
  <w:style w:type="character" w:styleId="Fontepargpadro7" w:customStyle="1">
    <w:name w:val="Fonte parág. padrão7"/>
    <w:qFormat/>
    <w:rPr>
      <w:rFonts w:ascii="Times New Roman" w:hAnsi="Times New Roman" w:eastAsia="Times New Roman" w:cs="Times New Roman"/>
    </w:rPr>
  </w:style>
  <w:style w:type="character" w:styleId="WW8Num1z0" w:customStyle="1">
    <w:name w:val="WW8Num1z0"/>
    <w:qFormat/>
    <w:rPr>
      <w:rFonts w:ascii="Times New Roman" w:hAnsi="Times New Roman" w:eastAsia="Times New Roman" w:cs="Times New Roman"/>
    </w:rPr>
  </w:style>
  <w:style w:type="character" w:styleId="WW8Num1z1" w:customStyle="1">
    <w:name w:val="WW8Num1z1"/>
    <w:qFormat/>
    <w:rPr>
      <w:rFonts w:ascii="Times New Roman" w:hAnsi="Times New Roman" w:eastAsia="Times New Roman" w:cs="Times New Roman"/>
    </w:rPr>
  </w:style>
  <w:style w:type="character" w:styleId="WW8Num1z2" w:customStyle="1">
    <w:name w:val="WW8Num1z2"/>
    <w:qFormat/>
    <w:rPr>
      <w:rFonts w:ascii="Times New Roman" w:hAnsi="Times New Roman" w:eastAsia="Times New Roman" w:cs="Times New Roman"/>
    </w:rPr>
  </w:style>
  <w:style w:type="character" w:styleId="WW8Num1z3" w:customStyle="1">
    <w:name w:val="WW8Num1z3"/>
    <w:qFormat/>
    <w:rPr>
      <w:rFonts w:ascii="Times New Roman" w:hAnsi="Times New Roman" w:eastAsia="Times New Roman" w:cs="Times New Roman"/>
    </w:rPr>
  </w:style>
  <w:style w:type="character" w:styleId="WW8Num1z4" w:customStyle="1">
    <w:name w:val="WW8Num1z4"/>
    <w:qFormat/>
    <w:rPr>
      <w:rFonts w:ascii="Times New Roman" w:hAnsi="Times New Roman" w:eastAsia="Times New Roman" w:cs="Times New Roman"/>
    </w:rPr>
  </w:style>
  <w:style w:type="character" w:styleId="WW8Num1z5" w:customStyle="1">
    <w:name w:val="WW8Num1z5"/>
    <w:qFormat/>
    <w:rPr>
      <w:rFonts w:ascii="Times New Roman" w:hAnsi="Times New Roman" w:eastAsia="Times New Roman" w:cs="Times New Roman"/>
    </w:rPr>
  </w:style>
  <w:style w:type="character" w:styleId="WW8Num1z6" w:customStyle="1">
    <w:name w:val="WW8Num1z6"/>
    <w:qFormat/>
    <w:rPr>
      <w:rFonts w:ascii="Times New Roman" w:hAnsi="Times New Roman" w:eastAsia="Times New Roman" w:cs="Times New Roman"/>
    </w:rPr>
  </w:style>
  <w:style w:type="character" w:styleId="WW8Num1z7" w:customStyle="1">
    <w:name w:val="WW8Num1z7"/>
    <w:qFormat/>
    <w:rPr>
      <w:rFonts w:ascii="Times New Roman" w:hAnsi="Times New Roman" w:eastAsia="Times New Roman" w:cs="Times New Roman"/>
    </w:rPr>
  </w:style>
  <w:style w:type="character" w:styleId="WW8Num1z8" w:customStyle="1">
    <w:name w:val="WW8Num1z8"/>
    <w:qFormat/>
    <w:rPr>
      <w:rFonts w:ascii="Times New Roman" w:hAnsi="Times New Roman" w:eastAsia="Times New Roman" w:cs="Times New Roman"/>
    </w:rPr>
  </w:style>
  <w:style w:type="character" w:styleId="WW8Num2z0" w:customStyle="1">
    <w:name w:val="WW8Num2z0"/>
    <w:qFormat/>
    <w:rPr>
      <w:rFonts w:ascii="Times New Roman" w:hAnsi="Times New Roman" w:eastAsia="Times New Roman" w:cs="Times New Roman"/>
    </w:rPr>
  </w:style>
  <w:style w:type="character" w:styleId="WW8Num2z1" w:customStyle="1">
    <w:name w:val="WW8Num2z1"/>
    <w:qFormat/>
    <w:rPr>
      <w:rFonts w:ascii="Times New Roman" w:hAnsi="Times New Roman" w:eastAsia="Times New Roman" w:cs="Times New Roman"/>
    </w:rPr>
  </w:style>
  <w:style w:type="character" w:styleId="WW8Num2z2" w:customStyle="1">
    <w:name w:val="WW8Num2z2"/>
    <w:qFormat/>
    <w:rPr>
      <w:rFonts w:ascii="Times New Roman" w:hAnsi="Times New Roman" w:eastAsia="Times New Roman" w:cs="Times New Roman"/>
    </w:rPr>
  </w:style>
  <w:style w:type="character" w:styleId="WW8Num2z3" w:customStyle="1">
    <w:name w:val="WW8Num2z3"/>
    <w:qFormat/>
    <w:rPr>
      <w:rFonts w:ascii="Times New Roman" w:hAnsi="Times New Roman" w:eastAsia="Times New Roman" w:cs="Times New Roman"/>
    </w:rPr>
  </w:style>
  <w:style w:type="character" w:styleId="WW8Num2z4" w:customStyle="1">
    <w:name w:val="WW8Num2z4"/>
    <w:qFormat/>
    <w:rPr>
      <w:rFonts w:ascii="Times New Roman" w:hAnsi="Times New Roman" w:eastAsia="Times New Roman" w:cs="Times New Roman"/>
    </w:rPr>
  </w:style>
  <w:style w:type="character" w:styleId="WW8Num2z5" w:customStyle="1">
    <w:name w:val="WW8Num2z5"/>
    <w:qFormat/>
    <w:rPr>
      <w:rFonts w:ascii="Times New Roman" w:hAnsi="Times New Roman" w:eastAsia="Times New Roman" w:cs="Times New Roman"/>
    </w:rPr>
  </w:style>
  <w:style w:type="character" w:styleId="WW8Num2z6" w:customStyle="1">
    <w:name w:val="WW8Num2z6"/>
    <w:qFormat/>
    <w:rPr>
      <w:rFonts w:ascii="Times New Roman" w:hAnsi="Times New Roman" w:eastAsia="Times New Roman" w:cs="Times New Roman"/>
    </w:rPr>
  </w:style>
  <w:style w:type="character" w:styleId="WW8Num2z7" w:customStyle="1">
    <w:name w:val="WW8Num2z7"/>
    <w:qFormat/>
    <w:rPr>
      <w:rFonts w:ascii="Times New Roman" w:hAnsi="Times New Roman" w:eastAsia="Times New Roman" w:cs="Times New Roman"/>
    </w:rPr>
  </w:style>
  <w:style w:type="character" w:styleId="WW8Num2z8" w:customStyle="1">
    <w:name w:val="WW8Num2z8"/>
    <w:qFormat/>
    <w:rPr>
      <w:rFonts w:ascii="Times New Roman" w:hAnsi="Times New Roman" w:eastAsia="Times New Roman" w:cs="Times New Roman"/>
    </w:rPr>
  </w:style>
  <w:style w:type="character" w:styleId="Fontepargpadro6" w:customStyle="1">
    <w:name w:val="Fonte parág. padrão6"/>
    <w:qFormat/>
    <w:rPr>
      <w:rFonts w:ascii="Times New Roman" w:hAnsi="Times New Roman" w:eastAsia="Times New Roman" w:cs="Times New Roman"/>
    </w:rPr>
  </w:style>
  <w:style w:type="character" w:styleId="AbsatzStandardschriftart" w:customStyle="1">
    <w:name w:val="Absatz-Standardschriftart"/>
    <w:qFormat/>
    <w:rPr>
      <w:rFonts w:ascii="Times New Roman" w:hAnsi="Times New Roman" w:eastAsia="Times New Roman" w:cs="Times New Roman"/>
    </w:rPr>
  </w:style>
  <w:style w:type="character" w:styleId="WWAbsatzStandardschriftart" w:customStyle="1">
    <w:name w:val="WW-Absatz-Standardschriftart"/>
    <w:qFormat/>
    <w:rPr>
      <w:rFonts w:ascii="Times New Roman" w:hAnsi="Times New Roman" w:eastAsia="Times New Roman" w:cs="Times New Roman"/>
    </w:rPr>
  </w:style>
  <w:style w:type="character" w:styleId="WWAbsatzStandardschriftart1" w:customStyle="1">
    <w:name w:val="WW-Absatz-Standardschriftart1"/>
    <w:qFormat/>
    <w:rPr>
      <w:rFonts w:ascii="Times New Roman" w:hAnsi="Times New Roman" w:eastAsia="Times New Roman" w:cs="Times New Roman"/>
    </w:rPr>
  </w:style>
  <w:style w:type="character" w:styleId="Fontepargpadro5" w:customStyle="1">
    <w:name w:val="Fonte parág. padrão5"/>
    <w:qFormat/>
    <w:rPr>
      <w:rFonts w:ascii="Times New Roman" w:hAnsi="Times New Roman" w:eastAsia="Times New Roman" w:cs="Times New Roman"/>
    </w:rPr>
  </w:style>
  <w:style w:type="character" w:styleId="Fontepargpadro4" w:customStyle="1">
    <w:name w:val="Fonte parág. padrão4"/>
    <w:qFormat/>
    <w:rPr>
      <w:rFonts w:ascii="Times New Roman" w:hAnsi="Times New Roman" w:eastAsia="Times New Roman" w:cs="Times New Roman"/>
    </w:rPr>
  </w:style>
  <w:style w:type="character" w:styleId="Fontepargpadro3" w:customStyle="1">
    <w:name w:val="Fonte parág. padrão3"/>
    <w:qFormat/>
    <w:rPr>
      <w:rFonts w:ascii="Times New Roman" w:hAnsi="Times New Roman" w:eastAsia="Times New Roman" w:cs="Times New Roman"/>
    </w:rPr>
  </w:style>
  <w:style w:type="character" w:styleId="Fontepargpadro2" w:customStyle="1">
    <w:name w:val="Fonte parág. padrão2"/>
    <w:qFormat/>
    <w:rPr>
      <w:rFonts w:ascii="Times New Roman" w:hAnsi="Times New Roman" w:eastAsia="Times New Roman" w:cs="Times New Roman"/>
    </w:rPr>
  </w:style>
  <w:style w:type="character" w:styleId="WW8Num5z0" w:customStyle="1">
    <w:name w:val="WW8Num5z0"/>
    <w:qFormat/>
    <w:rPr>
      <w:rFonts w:ascii="Times New Roman" w:hAnsi="Times New Roman" w:eastAsia="Times New Roman" w:cs="Times New Roman"/>
      <w:b/>
    </w:rPr>
  </w:style>
  <w:style w:type="character" w:styleId="WW8Num6z0" w:customStyle="1">
    <w:name w:val="WW8Num6z0"/>
    <w:qFormat/>
    <w:rPr>
      <w:rFonts w:ascii="Arial" w:hAnsi="Arial" w:eastAsia="Times New Roman" w:cs="Arial"/>
      <w:b/>
    </w:rPr>
  </w:style>
  <w:style w:type="character" w:styleId="Fontepargpadro1" w:customStyle="1">
    <w:name w:val="Fonte parág. padrão1"/>
    <w:qFormat/>
    <w:rPr>
      <w:rFonts w:ascii="Times New Roman" w:hAnsi="Times New Roman" w:eastAsia="Times New Roman" w:cs="Times New Roman"/>
    </w:rPr>
  </w:style>
  <w:style w:type="character" w:styleId="Refdecomentrio1" w:customStyle="1">
    <w:name w:val="Ref. de comentário1"/>
    <w:qFormat/>
    <w:rPr>
      <w:rFonts w:ascii="Times New Roman" w:hAnsi="Times New Roman" w:eastAsia="Times New Roman" w:cs="Times New Roman"/>
      <w:sz w:val="16"/>
    </w:rPr>
  </w:style>
  <w:style w:type="character" w:styleId="Smbolosdenumerao" w:customStyle="1">
    <w:name w:val="Símbolos de numeração"/>
    <w:qFormat/>
    <w:rPr>
      <w:rFonts w:ascii="Times New Roman" w:hAnsi="Times New Roman" w:eastAsia="Times New Roman" w:cs="Times New Roman"/>
    </w:rPr>
  </w:style>
  <w:style w:type="character" w:styleId="Badgebadgeimportant" w:customStyle="1">
    <w:name w:val="badge badge-important"/>
    <w:qFormat/>
    <w:rPr>
      <w:rFonts w:ascii="Times New Roman" w:hAnsi="Times New Roman" w:eastAsia="Times New Roman" w:cs="Times New Roman"/>
    </w:rPr>
  </w:style>
  <w:style w:type="character" w:styleId="Appleconvertedspace" w:customStyle="1">
    <w:name w:val="apple-converted-space"/>
    <w:qFormat/>
    <w:rPr>
      <w:rFonts w:ascii="Times New Roman" w:hAnsi="Times New Roman" w:eastAsia="Times New Roman" w:cs="Times New Roman"/>
    </w:rPr>
  </w:style>
  <w:style w:type="character" w:styleId="WW8Num9z0" w:customStyle="1">
    <w:name w:val="WW8Num9z0"/>
    <w:qFormat/>
    <w:rPr>
      <w:rFonts w:ascii="Times New Roman" w:hAnsi="Times New Roman" w:eastAsia="Times New Roman" w:cs="Times New Roman"/>
      <w:b/>
    </w:rPr>
  </w:style>
  <w:style w:type="character" w:styleId="Nfase">
    <w:name w:val="Ênfase"/>
    <w:qFormat/>
    <w:rPr>
      <w:rFonts w:ascii="Times New Roman" w:hAnsi="Times New Roman" w:eastAsia="Times New Roman" w:cs="Times New Roman"/>
      <w:i/>
      <w:iCs/>
    </w:rPr>
  </w:style>
  <w:style w:type="character" w:styleId="Ttulo3Char" w:customStyle="1">
    <w:name w:val="Título 3 Char"/>
    <w:qFormat/>
    <w:rPr>
      <w:rFonts w:ascii="Calibri Light" w:hAnsi="Calibri Light" w:eastAsia="Times New Roman" w:cs="Times New Roman"/>
      <w:b/>
      <w:bCs/>
      <w:kern w:val="2"/>
      <w:sz w:val="26"/>
      <w:szCs w:val="26"/>
      <w:lang w:eastAsia="zh-CN"/>
    </w:rPr>
  </w:style>
  <w:style w:type="character" w:styleId="CabealhoChar" w:customStyle="1">
    <w:name w:val="Cabeçalho Char"/>
    <w:qFormat/>
    <w:rPr>
      <w:rFonts w:ascii="Arial" w:hAnsi="Arial" w:eastAsia="Times New Roman" w:cs="Arial"/>
      <w:kern w:val="2"/>
      <w:sz w:val="24"/>
      <w:lang w:eastAsia="zh-CN"/>
    </w:rPr>
  </w:style>
  <w:style w:type="character" w:styleId="Strong">
    <w:name w:val="Strong"/>
    <w:qFormat/>
    <w:rPr>
      <w:rFonts w:ascii="Times New Roman" w:hAnsi="Times New Roman" w:eastAsia="Times New Roman" w:cs="Times New Roman"/>
      <w:b/>
      <w:bCs/>
    </w:rPr>
  </w:style>
  <w:style w:type="character" w:styleId="Ttulo2Char" w:customStyle="1">
    <w:name w:val="Título 2 Char"/>
    <w:qFormat/>
    <w:rPr>
      <w:rFonts w:ascii="Calibri Light" w:hAnsi="Calibri Light" w:eastAsia="Times New Roman" w:cs="Times New Roman"/>
      <w:b/>
      <w:bCs/>
      <w:i/>
      <w:iCs/>
      <w:kern w:val="2"/>
      <w:sz w:val="28"/>
      <w:szCs w:val="28"/>
      <w:lang w:eastAsia="zh-CN"/>
    </w:rPr>
  </w:style>
  <w:style w:type="character" w:styleId="Bodytext4" w:customStyle="1">
    <w:name w:val="Body text (4)_"/>
    <w:qFormat/>
    <w:rPr>
      <w:rFonts w:ascii="Arial" w:hAnsi="Arial" w:eastAsia="Arial" w:cs="Arial"/>
      <w:b/>
      <w:bCs/>
      <w:i/>
      <w:iCs/>
      <w:caps w:val="false"/>
      <w:smallCaps w:val="false"/>
      <w:u w:val="none"/>
    </w:rPr>
  </w:style>
  <w:style w:type="character" w:styleId="Bodytext41" w:customStyle="1">
    <w:name w:val="Body text (4)"/>
    <w:qFormat/>
    <w:rPr>
      <w:rFonts w:ascii="Arial" w:hAnsi="Arial" w:eastAsia="Arial" w:cs="Arial"/>
      <w:b/>
      <w:bCs/>
      <w:i/>
      <w:iCs/>
      <w:caps w:val="false"/>
      <w:smallCaps w:val="false"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pt-PT" w:bidi="pt-PT"/>
    </w:rPr>
  </w:style>
  <w:style w:type="character" w:styleId="Bodytext5" w:customStyle="1">
    <w:name w:val="Body text (5)_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u w:val="none"/>
    </w:rPr>
  </w:style>
  <w:style w:type="character" w:styleId="Bodytext5105ptBold" w:customStyle="1">
    <w:name w:val="Body text (5) + 10.5 pt;Bold"/>
    <w:qFormat/>
    <w:rPr>
      <w:rFonts w:ascii="Arial" w:hAnsi="Arial" w:eastAsia="Arial" w:cs="Arial"/>
      <w:b/>
      <w:bCs/>
      <w:i w:val="false"/>
      <w:iCs w:val="false"/>
      <w:caps w:val="false"/>
      <w:smallCaps w:val="false"/>
      <w:color w:val="000000"/>
      <w:spacing w:val="0"/>
      <w:w w:val="100"/>
      <w:position w:val="0"/>
      <w:sz w:val="21"/>
      <w:sz w:val="21"/>
      <w:szCs w:val="21"/>
      <w:u w:val="none"/>
      <w:vertAlign w:val="baseline"/>
      <w:lang w:val="pt-PT" w:bidi="pt-PT"/>
    </w:rPr>
  </w:style>
  <w:style w:type="character" w:styleId="Bodytext51" w:customStyle="1">
    <w:name w:val="Body text (5)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pt-PT" w:bidi="pt-PT"/>
    </w:rPr>
  </w:style>
  <w:style w:type="character" w:styleId="Bodytext3Exact" w:customStyle="1">
    <w:name w:val="Body text (3) Exact"/>
    <w:qFormat/>
    <w:rPr>
      <w:rFonts w:ascii="Times New Roman" w:hAnsi="Times New Roman" w:eastAsia="Times New Roman" w:cs="Times New Roman"/>
    </w:rPr>
  </w:style>
  <w:style w:type="character" w:styleId="Heading2Exact" w:customStyle="1">
    <w:name w:val="Heading #2 Exact"/>
    <w:qFormat/>
    <w:rPr>
      <w:rFonts w:ascii="Arial" w:hAnsi="Arial" w:eastAsia="Arial" w:cs="Arial"/>
      <w:b/>
      <w:bCs/>
      <w:sz w:val="26"/>
      <w:szCs w:val="26"/>
      <w:shd w:fill="FFFFFF" w:val="clear"/>
    </w:rPr>
  </w:style>
  <w:style w:type="character" w:styleId="Bodytext3" w:customStyle="1">
    <w:name w:val="Body text (3)_"/>
    <w:qFormat/>
    <w:rPr>
      <w:rFonts w:ascii="Arial" w:hAnsi="Arial" w:eastAsia="Arial" w:cs="Arial"/>
      <w:b/>
      <w:bCs/>
      <w:sz w:val="21"/>
      <w:szCs w:val="21"/>
      <w:shd w:fill="FFFFFF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>
      <w:rFonts w:ascii="Times New Roman" w:hAnsi="Times New Roman" w:cs="Times New Roman"/>
    </w:rPr>
  </w:style>
  <w:style w:type="paragraph" w:styleId="Lista">
    <w:name w:val="List"/>
    <w:basedOn w:val="Normal"/>
    <w:pPr>
      <w:ind w:left="283" w:hanging="283"/>
    </w:pPr>
    <w:rPr>
      <w:rFonts w:ascii="Times New Roman" w:hAnsi="Times New Roman" w:cs="Times New Roman"/>
      <w:szCs w:val="24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ascii="Times New Roman" w:hAnsi="Times New Roman" w:cs="Mang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>
      <w:rFonts w:ascii="Times New Roman" w:hAnsi="Times New Roman" w:cs="Times New Roman"/>
    </w:rPr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>
      <w:rFonts w:ascii="Times New Roman" w:hAnsi="Times New Roman" w:cs="Times New Roman"/>
    </w:rPr>
  </w:style>
  <w:style w:type="paragraph" w:styleId="Ttulo71" w:customStyle="1">
    <w:name w:val="Título7"/>
    <w:basedOn w:val="Normal"/>
    <w:next w:val="Corpodotexto"/>
    <w:qFormat/>
    <w:pPr>
      <w:keepNext w:val="true"/>
      <w:spacing w:before="240" w:after="120"/>
    </w:pPr>
    <w:rPr>
      <w:rFonts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Cs w:val="24"/>
    </w:rPr>
  </w:style>
  <w:style w:type="paragraph" w:styleId="Ttulo6" w:customStyle="1">
    <w:name w:val="Título6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5" w:customStyle="1">
    <w:name w:val="Título5"/>
    <w:basedOn w:val="Normal"/>
    <w:next w:val="Corpodotexto"/>
    <w:qFormat/>
    <w:pPr>
      <w:keepNext w:val="true"/>
      <w:spacing w:before="240" w:after="120"/>
    </w:pPr>
    <w:rPr>
      <w:rFonts w:eastAsia="Microsoft YaHei" w:cs="Mangal"/>
      <w:sz w:val="28"/>
      <w:szCs w:val="28"/>
    </w:rPr>
  </w:style>
  <w:style w:type="paragraph" w:styleId="Ttulo41" w:customStyle="1">
    <w:name w:val="Título4"/>
    <w:basedOn w:val="Normal"/>
    <w:next w:val="Corpodotexto"/>
    <w:qFormat/>
    <w:pPr>
      <w:keepNext w:val="true"/>
      <w:spacing w:before="240" w:after="120"/>
    </w:pPr>
    <w:rPr>
      <w:rFonts w:eastAsia="Microsoft YaHei" w:cs="Mangal"/>
      <w:sz w:val="28"/>
      <w:szCs w:val="28"/>
    </w:rPr>
  </w:style>
  <w:style w:type="paragraph" w:styleId="Ttulo31" w:customStyle="1">
    <w:name w:val="Título3"/>
    <w:basedOn w:val="Normal"/>
    <w:next w:val="Corpodotexto"/>
    <w:qFormat/>
    <w:pPr>
      <w:keepNext w:val="true"/>
      <w:spacing w:before="240" w:after="120"/>
    </w:pPr>
    <w:rPr>
      <w:rFonts w:eastAsia="Microsoft YaHei" w:cs="Mangal"/>
      <w:sz w:val="28"/>
      <w:szCs w:val="28"/>
    </w:rPr>
  </w:style>
  <w:style w:type="paragraph" w:styleId="Ttulo21" w:customStyle="1">
    <w:name w:val="Título2"/>
    <w:basedOn w:val="Normal"/>
    <w:next w:val="Corpodotexto"/>
    <w:qFormat/>
    <w:pPr>
      <w:keepNext w:val="true"/>
      <w:spacing w:before="240" w:after="120"/>
    </w:pPr>
    <w:rPr>
      <w:rFonts w:eastAsia="Microsoft YaHei" w:cs="Mangal"/>
      <w:sz w:val="28"/>
      <w:szCs w:val="28"/>
    </w:rPr>
  </w:style>
  <w:style w:type="paragraph" w:styleId="Ttulo11" w:customStyle="1">
    <w:name w:val="Título1"/>
    <w:basedOn w:val="Normal"/>
    <w:next w:val="Corpodotexto"/>
    <w:qFormat/>
    <w:pPr>
      <w:jc w:val="center"/>
    </w:pPr>
    <w:rPr>
      <w:rFonts w:ascii="Times New Roman" w:hAnsi="Times New Roman" w:cs="Times New Roman"/>
      <w:b/>
      <w:sz w:val="28"/>
    </w:rPr>
  </w:style>
  <w:style w:type="paragraph" w:styleId="Corpodotextorecuado">
    <w:name w:val="Body Text Indent"/>
    <w:basedOn w:val="Normal"/>
    <w:pPr>
      <w:ind w:left="1260" w:firstLine="360"/>
      <w:jc w:val="both"/>
    </w:pPr>
    <w:rPr>
      <w:rFonts w:ascii="Times New Roman" w:hAnsi="Times New Roman" w:cs="Times New Roman"/>
      <w:szCs w:val="24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orpodetexto32" w:customStyle="1">
    <w:name w:val="Corpo de texto 32"/>
    <w:basedOn w:val="Normal"/>
    <w:qFormat/>
    <w:pPr>
      <w:spacing w:before="0" w:after="120"/>
    </w:pPr>
    <w:rPr>
      <w:rFonts w:ascii="Times New Roman" w:hAnsi="Times New Roman" w:cs="Times New Roman"/>
      <w:sz w:val="16"/>
      <w:szCs w:val="16"/>
    </w:rPr>
  </w:style>
  <w:style w:type="paragraph" w:styleId="WWPadro" w:customStyle="1">
    <w:name w:val="WW-Padrão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4"/>
      <w:lang w:eastAsia="zh-CN" w:val="pt-BR" w:bidi="ar-SA"/>
    </w:rPr>
  </w:style>
  <w:style w:type="paragraph" w:styleId="Corpodetexto21" w:customStyle="1">
    <w:name w:val="Corpo de texto 21"/>
    <w:basedOn w:val="Normal"/>
    <w:qFormat/>
    <w:pPr>
      <w:spacing w:lineRule="auto" w:line="480" w:before="0" w:after="120"/>
    </w:pPr>
    <w:rPr>
      <w:rFonts w:ascii="Times New Roman" w:hAnsi="Times New Roman" w:cs="Times New Roman"/>
    </w:rPr>
  </w:style>
  <w:style w:type="paragraph" w:styleId="Recuodecorpodetexto21" w:customStyle="1">
    <w:name w:val="Recuo de corpo de texto 21"/>
    <w:basedOn w:val="Normal"/>
    <w:qFormat/>
    <w:pPr>
      <w:spacing w:lineRule="auto" w:line="480" w:before="0" w:after="120"/>
      <w:ind w:left="283" w:hanging="0"/>
    </w:pPr>
    <w:rPr>
      <w:rFonts w:ascii="Times New Roman" w:hAnsi="Times New Roman" w:cs="Times New Roman"/>
    </w:rPr>
  </w:style>
  <w:style w:type="paragraph" w:styleId="Textodecomentrio1" w:customStyle="1">
    <w:name w:val="Texto de comentário1"/>
    <w:basedOn w:val="Normal"/>
    <w:qFormat/>
    <w:pPr/>
    <w:rPr>
      <w:rFonts w:ascii="Times New Roman" w:hAnsi="Times New Roman" w:cs="Times New Roman"/>
      <w:sz w:val="20"/>
    </w:rPr>
  </w:style>
  <w:style w:type="paragraph" w:styleId="Estruturadodocumento1" w:customStyle="1">
    <w:name w:val="Estrutura do documento1"/>
    <w:basedOn w:val="Normal"/>
    <w:qFormat/>
    <w:pPr>
      <w:shd w:val="clear" w:color="auto" w:fill="000080"/>
    </w:pPr>
    <w:rPr>
      <w:rFonts w:ascii="Tahoma" w:hAnsi="Tahoma" w:cs="Tahoma"/>
      <w:sz w:val="20"/>
    </w:rPr>
  </w:style>
  <w:style w:type="paragraph" w:styleId="Corpodetexto31" w:customStyle="1">
    <w:name w:val="Corpo de texto 31"/>
    <w:basedOn w:val="Normal"/>
    <w:qFormat/>
    <w:pPr>
      <w:spacing w:lineRule="auto" w:line="360"/>
      <w:jc w:val="both"/>
    </w:pPr>
    <w:rPr>
      <w:rFonts w:ascii="Times New Roman" w:hAnsi="Times New Roman" w:cs="Times New Roman"/>
      <w:bCs/>
      <w:color w:val="000000"/>
    </w:rPr>
  </w:style>
  <w:style w:type="paragraph" w:styleId="WWPadro1" w:customStyle="1">
    <w:name w:val="WW-Padrão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4"/>
      <w:lang w:eastAsia="zh-CN" w:val="pt-BR" w:bidi="ar-SA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</w:pPr>
    <w:rPr>
      <w:rFonts w:ascii="Calibri" w:hAnsi="Calibri" w:cs="Calibri"/>
      <w:color w:val="000000"/>
      <w:sz w:val="22"/>
      <w:lang w:val="es-AR"/>
    </w:rPr>
  </w:style>
  <w:style w:type="paragraph" w:styleId="NormalWeb">
    <w:name w:val="Normal (Web)"/>
    <w:basedOn w:val="Normal"/>
    <w:qFormat/>
    <w:pPr>
      <w:suppressAutoHyphens w:val="false"/>
    </w:pPr>
    <w:rPr>
      <w:rFonts w:ascii="Times New Roman" w:hAnsi="Times New Roman" w:cs="Times New Roman"/>
      <w:szCs w:val="24"/>
    </w:rPr>
  </w:style>
  <w:style w:type="paragraph" w:styleId="Normal1" w:customStyle="1">
    <w:name w:val="Normal1"/>
    <w:qFormat/>
    <w:pPr>
      <w:widowControl/>
      <w:suppressAutoHyphens w:val="true"/>
      <w:bidi w:val="0"/>
      <w:spacing w:before="0" w:after="0"/>
      <w:jc w:val="left"/>
    </w:pPr>
    <w:rPr>
      <w:rFonts w:ascii="Calibri" w:hAnsi="Calibri" w:cs="Calibri" w:eastAsia="Times New Roman"/>
      <w:color w:val="000000"/>
      <w:kern w:val="0"/>
      <w:sz w:val="24"/>
      <w:szCs w:val="24"/>
      <w:lang w:eastAsia="zh-CN" w:val="pt-BR" w:bidi="ar-SA"/>
    </w:rPr>
  </w:style>
  <w:style w:type="paragraph" w:styleId="Bodytext31" w:customStyle="1">
    <w:name w:val="Body text (3)"/>
    <w:basedOn w:val="Normal"/>
    <w:qFormat/>
    <w:pPr>
      <w:widowControl w:val="false"/>
      <w:shd w:val="clear" w:color="auto" w:fill="FFFFFF"/>
      <w:suppressAutoHyphens w:val="false"/>
      <w:spacing w:lineRule="atLeast" w:line="0" w:before="0" w:after="60"/>
    </w:pPr>
    <w:rPr>
      <w:rFonts w:ascii="Times New Roman" w:hAnsi="Times New Roman" w:eastAsia="Arial" w:cs="Times New Roman"/>
      <w:b/>
      <w:bCs/>
      <w:sz w:val="21"/>
      <w:szCs w:val="21"/>
    </w:rPr>
  </w:style>
  <w:style w:type="paragraph" w:styleId="Heading2" w:customStyle="1">
    <w:name w:val="Heading #2"/>
    <w:basedOn w:val="Normal"/>
    <w:qFormat/>
    <w:pPr>
      <w:widowControl w:val="false"/>
      <w:shd w:val="clear" w:color="auto" w:fill="FFFFFF"/>
      <w:suppressAutoHyphens w:val="false"/>
      <w:spacing w:lineRule="atLeast" w:line="0" w:before="60" w:after="0"/>
    </w:pPr>
    <w:rPr>
      <w:rFonts w:ascii="Times New Roman" w:hAnsi="Times New Roman" w:eastAsia="Arial" w:cs="Times New Roman"/>
      <w:b/>
      <w:bCs/>
      <w:sz w:val="26"/>
      <w:szCs w:val="26"/>
    </w:rPr>
  </w:style>
  <w:style w:type="paragraph" w:styleId="Corpodetexto22" w:customStyle="1">
    <w:name w:val="Corpo de texto 22"/>
    <w:basedOn w:val="Normal"/>
    <w:qFormat/>
    <w:pPr>
      <w:suppressAutoHyphens w:val="false"/>
      <w:overflowPunct w:val="true"/>
      <w:ind w:left="2832" w:firstLine="3"/>
      <w:jc w:val="both"/>
      <w:textAlignment w:val="baseline"/>
    </w:pPr>
    <w:rPr>
      <w:rFonts w:ascii="Times New Roman" w:hAnsi="Times New Roman" w:cs="Times New Roman"/>
      <w:b/>
    </w:rPr>
  </w:style>
  <w:style w:type="paragraph" w:styleId="Recuodecorpodetexto22" w:customStyle="1">
    <w:name w:val="Recuo de corpo de texto 22"/>
    <w:basedOn w:val="Normal"/>
    <w:qFormat/>
    <w:pPr>
      <w:suppressAutoHyphens w:val="false"/>
      <w:overflowPunct w:val="true"/>
      <w:ind w:left="851" w:hanging="851"/>
      <w:jc w:val="both"/>
      <w:textAlignment w:val="baseline"/>
    </w:pPr>
    <w:rPr>
      <w:rFonts w:ascii="Times New Roman" w:hAnsi="Times New Roman" w:cs="Times New Roman"/>
    </w:rPr>
  </w:style>
  <w:style w:type="paragraph" w:styleId="Recuodecorpodetexto32" w:customStyle="1">
    <w:name w:val="Recuo de corpo de texto 32"/>
    <w:basedOn w:val="Normal"/>
    <w:qFormat/>
    <w:pPr>
      <w:ind w:firstLine="708"/>
      <w:jc w:val="both"/>
    </w:pPr>
    <w:rPr>
      <w:rFonts w:ascii="Times New Roman" w:hAnsi="Times New Roman" w:cs="Times New Roman"/>
    </w:rPr>
  </w:style>
  <w:style w:type="paragraph" w:styleId="Default" w:customStyle="1">
    <w:name w:val="Default"/>
    <w:qFormat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pt-BR" w:eastAsia="pt-BR" w:bidi="ar-SA"/>
    </w:rPr>
  </w:style>
  <w:style w:type="paragraph" w:styleId="Corpodetexto23" w:customStyle="1">
    <w:name w:val="Corpo de texto 23"/>
    <w:basedOn w:val="Normal"/>
    <w:qFormat/>
    <w:rsid w:val="00686672"/>
    <w:pPr>
      <w:overflowPunct w:val="true"/>
      <w:ind w:left="1418" w:hanging="1418"/>
      <w:jc w:val="both"/>
    </w:pPr>
    <w:rPr>
      <w:rFonts w:ascii="Century Schoolbook" w:hAnsi="Century Schoolbook" w:cs="Century Schoolbook"/>
      <w:kern w:val="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LibreOffice/7.0.6.2$Windows_X86_64 LibreOffice_project/144abb84a525d8e30c9dbbefa69cbbf2d8d4ae3b</Application>
  <AppVersion>15.0000</AppVersion>
  <Pages>5</Pages>
  <Words>2776</Words>
  <Characters>15304</Characters>
  <CharactersWithSpaces>18045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2021-07-15T13:44:00Z</dcterms:created>
  <dc:creator>PGM</dc:creator>
  <dc:description/>
  <dc:language>pt-BR</dc:language>
  <cp:lastModifiedBy>user</cp:lastModifiedBy>
  <cp:lastPrinted>2022-07-12T11:14:33Z</cp:lastPrinted>
  <dcterms:modified xsi:type="dcterms:W3CDTF">2021-07-15T13:44:00Z</dcterms:modified>
  <cp:revision>2</cp:revision>
  <dc:subject/>
  <dc:title>DECRETO No 148, DE 22 DE JULHO DE 2009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