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kern w:val="0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LEI COMPLEMENTAR N</w:t>
      </w:r>
      <w:r>
        <w:rPr>
          <w:rFonts w:cs="Times New Roman" w:ascii="Times New Roman" w:hAnsi="Times New Roman"/>
          <w:sz w:val="23"/>
          <w:szCs w:val="23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3"/>
          <w:szCs w:val="23"/>
        </w:rPr>
        <w:t xml:space="preserve"> 157, DE 15 DE JULHO DE 2021.</w:t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cs="Times New Roman"/>
          <w:bCs/>
          <w:sz w:val="23"/>
          <w:szCs w:val="23"/>
        </w:rPr>
      </w:pPr>
      <w:r>
        <w:rPr>
          <w:rFonts w:cs="Times New Roman" w:ascii="Times New Roman" w:hAnsi="Times New Roman"/>
          <w:bCs/>
          <w:sz w:val="23"/>
          <w:szCs w:val="23"/>
        </w:rPr>
      </w:r>
    </w:p>
    <w:p>
      <w:pPr>
        <w:pStyle w:val="Normal"/>
        <w:spacing w:before="0" w:after="0"/>
        <w:ind w:left="4678" w:hanging="0"/>
        <w:contextualSpacing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>
        <w:rPr>
          <w:rFonts w:cs="Times New Roman" w:ascii="Times New Roman" w:hAnsi="Times New Roman"/>
          <w:bCs/>
          <w:sz w:val="21"/>
          <w:szCs w:val="21"/>
        </w:rPr>
        <w:t xml:space="preserve">Estabelece, em caráter extraordinário, normas excepcionais destinadas à </w:t>
      </w:r>
      <w:bookmarkStart w:id="0" w:name="_GoBack"/>
      <w:r>
        <w:rPr>
          <w:rFonts w:cs="Times New Roman" w:ascii="Times New Roman" w:hAnsi="Times New Roman"/>
          <w:bCs/>
          <w:sz w:val="21"/>
          <w:szCs w:val="21"/>
        </w:rPr>
        <w:t xml:space="preserve">legalização </w:t>
      </w:r>
      <w:r>
        <w:rPr>
          <w:rFonts w:cs="Times New Roman" w:ascii="Times New Roman" w:hAnsi="Times New Roman"/>
          <w:sz w:val="21"/>
          <w:szCs w:val="21"/>
          <w:lang w:eastAsia="pt-BR"/>
        </w:rPr>
        <w:t xml:space="preserve">de imóveis que possuam obras, em situação consolidada, ocupando parte do passeio público </w:t>
      </w:r>
      <w:bookmarkEnd w:id="0"/>
      <w:r>
        <w:rPr>
          <w:rFonts w:cs="Times New Roman" w:ascii="Times New Roman" w:hAnsi="Times New Roman"/>
          <w:sz w:val="21"/>
          <w:szCs w:val="21"/>
        </w:rPr>
        <w:t>em desacordo com a legislação urbanística; e,</w:t>
      </w:r>
      <w:r>
        <w:rPr>
          <w:rFonts w:cs="Times New Roman" w:ascii="Times New Roman" w:hAnsi="Times New Roman"/>
          <w:bCs/>
          <w:sz w:val="21"/>
          <w:szCs w:val="21"/>
        </w:rPr>
        <w:t xml:space="preserve"> </w:t>
      </w:r>
      <w:bookmarkStart w:id="1" w:name="_Hlk76047331"/>
      <w:r>
        <w:rPr>
          <w:rFonts w:cs="Times New Roman" w:ascii="Times New Roman" w:hAnsi="Times New Roman"/>
          <w:bCs/>
          <w:sz w:val="21"/>
          <w:szCs w:val="21"/>
        </w:rPr>
        <w:t>dispõe sobre critérios de regularização de imóveis em relação à taxa de permeabilidade com reaproveitamento de águas pluviais</w:t>
      </w:r>
      <w:bookmarkEnd w:id="1"/>
      <w:r>
        <w:rPr>
          <w:rFonts w:cs="Times New Roman" w:ascii="Times New Roman" w:hAnsi="Times New Roman"/>
          <w:bCs/>
          <w:sz w:val="21"/>
          <w:szCs w:val="21"/>
        </w:rPr>
        <w:t xml:space="preserve">, e dá outras providências. </w:t>
      </w:r>
    </w:p>
    <w:p>
      <w:pPr>
        <w:pStyle w:val="Normal"/>
        <w:spacing w:before="0" w:after="0"/>
        <w:ind w:left="5670" w:hanging="0"/>
        <w:contextualSpacing/>
        <w:jc w:val="both"/>
        <w:rPr>
          <w:rFonts w:ascii="Times New Roman" w:hAnsi="Times New Roman" w:cs="Times New Roman"/>
          <w:spacing w:val="-5"/>
          <w:sz w:val="23"/>
          <w:szCs w:val="23"/>
          <w:lang w:val="pt-PT"/>
        </w:rPr>
      </w:pPr>
      <w:r>
        <w:rPr>
          <w:rFonts w:cs="Times New Roman" w:ascii="Times New Roman" w:hAnsi="Times New Roman"/>
          <w:spacing w:val="-5"/>
          <w:sz w:val="23"/>
          <w:szCs w:val="23"/>
          <w:lang w:val="pt-PT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cs="Times New Roman" w:ascii="Times New Roman" w:hAnsi="Times New Roman"/>
          <w:kern w:val="0"/>
          <w:sz w:val="23"/>
          <w:szCs w:val="23"/>
        </w:rPr>
        <w:t>O PREFEITO MUNICIPAL DE SANTA ROSA, Estado do Rio Grande do Sul, no uso das atribuições que lhe são conferidas pela Lei Orgânica Municipal, artigo 55,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FAZ SABER que a Câmara de Vereadores aprovou e eu sanciono a seguinte Lei Complementar: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CAPÍTULO I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DISPOSIÇÕES GERAIS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iCs/>
          <w:sz w:val="22"/>
          <w:szCs w:val="22"/>
        </w:rPr>
      </w:pPr>
      <w:bookmarkStart w:id="2" w:name="_Hlk74746199"/>
      <w:r>
        <w:rPr>
          <w:rFonts w:cs="Times New Roman" w:ascii="Times New Roman" w:hAnsi="Times New Roman"/>
          <w:sz w:val="22"/>
          <w:szCs w:val="22"/>
        </w:rPr>
        <w:t>Art. 1</w:t>
      </w:r>
      <w:r>
        <w:rPr>
          <w:rFonts w:cs="Times New Roman" w:ascii="Times New Roman" w:hAnsi="Times New Roman"/>
          <w:bCs/>
          <w:sz w:val="22"/>
          <w:szCs w:val="22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bookmarkEnd w:id="2"/>
      <w:r>
        <w:rPr>
          <w:rFonts w:cs="Times New Roman" w:ascii="Times New Roman" w:hAnsi="Times New Roman"/>
          <w:bCs/>
          <w:sz w:val="22"/>
          <w:szCs w:val="22"/>
        </w:rPr>
        <w:t xml:space="preserve">Ficam estabelecidas, em caráter extraordinário, nos termos desta Lei Complementar, normas excepcionais destinadas à legalização 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de imóveis que possuam obras, em situação consolidada, ocupando parte do passeio público, </w:t>
      </w:r>
      <w:r>
        <w:rPr>
          <w:rFonts w:cs="Times New Roman" w:ascii="Times New Roman" w:hAnsi="Times New Roman"/>
          <w:sz w:val="22"/>
          <w:szCs w:val="22"/>
        </w:rPr>
        <w:t>em desacordo com a Lei Complementar n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2"/>
          <w:szCs w:val="22"/>
        </w:rPr>
        <w:t xml:space="preserve"> 58, de 12 de abril de 2010, que i</w:t>
      </w:r>
      <w:r>
        <w:rPr>
          <w:rFonts w:cs="Times New Roman" w:ascii="Times New Roman" w:hAnsi="Times New Roman"/>
          <w:iCs/>
          <w:sz w:val="22"/>
          <w:szCs w:val="22"/>
        </w:rPr>
        <w:t xml:space="preserve">nstitui o Código de Obras do Município de Santa Rosa e suas alterações, a </w:t>
      </w:r>
      <w:r>
        <w:rPr>
          <w:rFonts w:cs="Times New Roman" w:ascii="Times New Roman" w:hAnsi="Times New Roman"/>
          <w:sz w:val="22"/>
          <w:szCs w:val="22"/>
        </w:rPr>
        <w:t>Lei Complementar n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2"/>
          <w:szCs w:val="22"/>
        </w:rPr>
        <w:t xml:space="preserve"> 118, de 28 de agosto de 2017, que i</w:t>
      </w:r>
      <w:r>
        <w:rPr>
          <w:rFonts w:cs="Times New Roman" w:ascii="Times New Roman" w:hAnsi="Times New Roman"/>
          <w:iCs/>
          <w:sz w:val="22"/>
          <w:szCs w:val="22"/>
        </w:rPr>
        <w:t>nstitui o Plano Diretor Participativo de Desenvolvimento Sustentável do Município de Santa Rosa</w:t>
      </w:r>
      <w:bookmarkStart w:id="3" w:name="_Hlk73541489"/>
      <w:r>
        <w:rPr>
          <w:rFonts w:cs="Times New Roman" w:ascii="Times New Roman" w:hAnsi="Times New Roman"/>
          <w:iCs/>
          <w:sz w:val="22"/>
          <w:szCs w:val="22"/>
        </w:rPr>
        <w:t xml:space="preserve"> e suas alterações</w:t>
      </w:r>
      <w:bookmarkEnd w:id="3"/>
      <w:r>
        <w:rPr>
          <w:rFonts w:cs="Times New Roman" w:ascii="Times New Roman" w:hAnsi="Times New Roman"/>
          <w:iCs/>
          <w:sz w:val="22"/>
          <w:szCs w:val="22"/>
        </w:rPr>
        <w:t xml:space="preserve">, e, </w:t>
      </w:r>
      <w:r>
        <w:rPr>
          <w:rFonts w:cs="Times New Roman" w:ascii="Times New Roman" w:hAnsi="Times New Roman"/>
          <w:sz w:val="22"/>
          <w:szCs w:val="22"/>
        </w:rPr>
        <w:t>demais leis urbanísticas aplicáveis.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bCs/>
          <w:iCs/>
          <w:sz w:val="22"/>
          <w:szCs w:val="22"/>
        </w:rPr>
        <w:t xml:space="preserve">Parágrafo único. </w:t>
      </w:r>
      <w:r>
        <w:rPr>
          <w:rFonts w:cs="Times New Roman" w:ascii="Times New Roman" w:hAnsi="Times New Roman"/>
          <w:sz w:val="22"/>
          <w:szCs w:val="22"/>
          <w:lang w:eastAsia="pt-BR"/>
        </w:rPr>
        <w:t>As ações abarcadas pelas normas de legalização aludidas no </w:t>
      </w:r>
      <w:r>
        <w:rPr>
          <w:rFonts w:cs="Times New Roman" w:ascii="Times New Roman" w:hAnsi="Times New Roman"/>
          <w:i/>
          <w:iCs/>
          <w:sz w:val="22"/>
          <w:szCs w:val="22"/>
          <w:lang w:eastAsia="pt-BR"/>
        </w:rPr>
        <w:t>caput</w:t>
      </w:r>
      <w:r>
        <w:rPr>
          <w:rFonts w:cs="Times New Roman" w:ascii="Times New Roman" w:hAnsi="Times New Roman"/>
          <w:sz w:val="22"/>
          <w:szCs w:val="22"/>
          <w:lang w:eastAsia="pt-BR"/>
        </w:rPr>
        <w:t> deste artigo consistem na análise e, conforme o caso, aprovação, emissão e fornecimento pelo Poder Executivo, dos documentos concernentes, do alvará de legalização, da carta de habitação e/ou certidão de existência, em relação aos imóveis que possuam obras executadas em desacordo com os parâmetros e gabaritos delimitados na legislação aplicável, desde que cumpridos os requisitos e condições dispostos nesta Lei Complementar.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</w:rPr>
        <w:t>Art. 2</w:t>
      </w:r>
      <w:r>
        <w:rPr>
          <w:rFonts w:cs="Times New Roman" w:ascii="Times New Roman" w:hAnsi="Times New Roman"/>
          <w:bCs/>
          <w:sz w:val="22"/>
          <w:szCs w:val="22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eastAsia="pt-BR"/>
        </w:rPr>
        <w:t>Para fins de aplicação nesta Lei Complementar, serão adotadas as seguintes definições: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bCs/>
          <w:iCs/>
          <w:sz w:val="22"/>
          <w:szCs w:val="22"/>
        </w:rPr>
        <w:t xml:space="preserve">I – edificações: são obras destinadas ao uso de habitação, comércio, prestação de serviços ou industrial; </w:t>
      </w:r>
      <w:bookmarkStart w:id="4" w:name="_Hlk74746541"/>
      <w:bookmarkEnd w:id="4"/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II – obras: todas as construções, edificações, reformas, recuperações ou ampliações, elementos de fechamento de terreno (</w:t>
      </w:r>
      <w:bookmarkStart w:id="5" w:name="_Hlk74208809"/>
      <w:r>
        <w:rPr>
          <w:rFonts w:cs="Times New Roman" w:ascii="Times New Roman" w:hAnsi="Times New Roman"/>
          <w:sz w:val="22"/>
          <w:szCs w:val="22"/>
          <w:lang w:eastAsia="pt-BR"/>
        </w:rPr>
        <w:t>muros, muretas, muretas de entrada de energia/água, cercas, grades e similares)</w:t>
      </w:r>
      <w:bookmarkEnd w:id="5"/>
      <w:r>
        <w:rPr>
          <w:rFonts w:cs="Times New Roman" w:ascii="Times New Roman" w:hAnsi="Times New Roman"/>
          <w:sz w:val="22"/>
          <w:szCs w:val="22"/>
          <w:lang w:eastAsia="pt-BR"/>
        </w:rPr>
        <w:t>, e que sejam consideradas consolidadas na forma desta Lei Complementar;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cs="Times New Roman" w:ascii="Times New Roman" w:hAnsi="Times New Roman"/>
          <w:bCs/>
          <w:iCs/>
          <w:sz w:val="22"/>
          <w:szCs w:val="22"/>
        </w:rPr>
        <w:t>III – obras consolidadas: aquelas que apresentarem comprovação de existência até o início da entrada em vigência desta Lei Complementar;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 xml:space="preserve">IV – taxa de permeabilidade: corresponde </w:t>
      </w:r>
      <w:r>
        <w:rPr>
          <w:rFonts w:cs="Times New Roman" w:ascii="Times New Roman" w:hAnsi="Times New Roman"/>
          <w:sz w:val="22"/>
          <w:szCs w:val="22"/>
        </w:rPr>
        <w:t>a relação percentual entre a área do terreno ou imóvel livre de qualquer construção ou edificação recoberta com vegetação e a área total do lote, terreno ou gleba</w:t>
      </w:r>
      <w:r>
        <w:rPr>
          <w:rFonts w:cs="Times New Roman" w:ascii="Times New Roman" w:hAnsi="Times New Roman"/>
          <w:sz w:val="22"/>
          <w:szCs w:val="22"/>
          <w:lang w:eastAsia="pt-BR"/>
        </w:rPr>
        <w:t>, para a garantia da permeabilidade do solo, observado o art. 200 e seus parágrafos da Lei Complementar n</w:t>
      </w:r>
      <w:r>
        <w:rPr>
          <w:rFonts w:cs="Times New Roman" w:ascii="Times New Roman" w:hAnsi="Times New Roman"/>
          <w:strike/>
          <w:sz w:val="22"/>
          <w:szCs w:val="22"/>
          <w:lang w:eastAsia="pt-BR"/>
        </w:rPr>
        <w:t>º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 118, de 2017.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CAPÍTULO II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 xml:space="preserve">DAS HIPÓTESES DE ENQUADRAMENTO, 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 xml:space="preserve">CONDIÇÕES E REQUISITOS À LEGALIZAÇÃO DE IMÓVEIS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bookmarkStart w:id="6" w:name="_Hlk73952205"/>
      <w:r>
        <w:rPr>
          <w:rFonts w:cs="Times New Roman" w:ascii="Times New Roman" w:hAnsi="Times New Roman"/>
          <w:sz w:val="22"/>
          <w:szCs w:val="22"/>
          <w:lang w:eastAsia="pt-BR"/>
        </w:rPr>
        <w:t>Art. 3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> </w:t>
      </w:r>
      <w:bookmarkEnd w:id="6"/>
      <w:r>
        <w:rPr>
          <w:rFonts w:cs="Times New Roman" w:ascii="Times New Roman" w:hAnsi="Times New Roman"/>
          <w:sz w:val="22"/>
          <w:szCs w:val="22"/>
          <w:lang w:eastAsia="pt-BR"/>
        </w:rPr>
        <w:t>Respeitado o disposto no art. 1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 desta Lei Complementar, poderão ser objeto de legalização os imóveis que possuam obras erigidas sobre parte do passeio público que estejam enquadrados, conforme o caso, nas hipóteses a seguir descritas: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I – passeios públicos em que o respectivo gabarito oficial esteja entre as medidas de 4,00m (quatro metros) e 5,50 m (cinco metros e cinquenta centímetros), observada a condição e o requisito, de que a área do passeio público ocupada irregularmente não poderá exceder, para qualquer cota enquadrada neste inciso, em medida que interfira na largura mínima a ser preservada, que deve ser de 3,00m (três metros), respeitada uma variação máxima de 10% (dez por cento) desta medida.</w:t>
      </w:r>
      <w:bookmarkStart w:id="7" w:name="_Hlk74148292"/>
      <w:bookmarkStart w:id="8" w:name="_Hlk74747418"/>
      <w:bookmarkEnd w:id="7"/>
      <w:bookmarkEnd w:id="8"/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 xml:space="preserve">II – passeios públicos em que o respectivo gabarito oficial esteja entre as medidas de 3,00 m (três metros) e 3,99 m (três metros e noventa e nove centímetros), observada a condição e o requisito, de que a área do passeio público ocupada irregularmente não poderá exceder, para qualquer cota enquadrada neste inciso, em medida que interfira na largura mínima a ser preservada, que deve ser de 2,00m (dois metros), respeitada a variação máxima de 10% (dez por cento) desta medida.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 xml:space="preserve">III – passeios públicos em que o respectivo gabarito oficial esteja entre as medidas de 2,00 m (dois metros) e 2,99 m (dois metros e noventa e nove centímetros), observada a condição e o requisito, de que a área do passeio público ocupada irregularmente não poderá exceder, para qualquer cota enquadrada neste inciso, em medida que interfira na largura mínima a ser preservada, que deve ser de 1,50m (um metro e cinquenta centímetros), respeitada a variação máxima de 10% (dez por cento) desta medida.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IV - passeios públicos que tenham medida inferior a 1,50m (um metro e cinquenta centímetros) em decorrência de absorção pelo sistema viário ou onde a urbanização tenha tido origem por intermédio de processo de regularização fundiária, para qualquer medida;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V - passeios públicos localizados defronte a imóveis que tenham a necessidade de contenção de suas terras por intermédio de taludes, muretas de contenção e/ou trabalho de estabilização ou sustentação equivalente, desde que tenha havido a reserva de, no mínimo, 1,50m (um metro e cinquenta centímetros) do atinente logradouro pavimentado, de livre passagem e sem obstáculos.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bCs/>
          <w:iCs/>
          <w:sz w:val="22"/>
          <w:szCs w:val="22"/>
        </w:rPr>
        <w:t>§1</w:t>
      </w:r>
      <w:r>
        <w:rPr>
          <w:rFonts w:cs="Times New Roman" w:ascii="Times New Roman" w:hAnsi="Times New Roman"/>
          <w:bCs/>
          <w:iCs/>
          <w:sz w:val="22"/>
          <w:szCs w:val="22"/>
          <w:u w:val="single"/>
          <w:vertAlign w:val="superscript"/>
        </w:rPr>
        <w:t>o</w:t>
      </w:r>
      <w:r>
        <w:rPr>
          <w:rFonts w:cs="Times New Roman" w:ascii="Times New Roman" w:hAnsi="Times New Roman"/>
          <w:bCs/>
          <w:sz w:val="22"/>
          <w:szCs w:val="22"/>
        </w:rPr>
        <w:t xml:space="preserve"> Aplicam-se às hipóteses dos incisos I, II, III e IV deste artigo aos casos em que os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 passeios públicos tenham sido ocupados irregularmente com obras finalizadas, desde que no mínimo 50% (cinquenta por cento) dos logradouros da testada da correspondente quadra para a qual o imóvel faz frente estejam em situação similar.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§2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> Quando a ocupação parcial do passeio público com cercamento tenha sito efetuada de arame farpado, tal cercamento deverá ser removido, não sendo caso de legalização.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bookmarkStart w:id="9" w:name="_Hlk73542414"/>
      <w:r>
        <w:rPr>
          <w:rFonts w:cs="Times New Roman" w:ascii="Times New Roman" w:hAnsi="Times New Roman"/>
          <w:sz w:val="22"/>
          <w:szCs w:val="22"/>
          <w:lang w:eastAsia="pt-BR"/>
        </w:rPr>
        <w:t>§3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bookmarkEnd w:id="9"/>
      <w:r>
        <w:rPr>
          <w:rFonts w:cs="Times New Roman" w:ascii="Times New Roman" w:hAnsi="Times New Roman"/>
          <w:sz w:val="22"/>
          <w:szCs w:val="22"/>
          <w:lang w:eastAsia="pt-BR"/>
        </w:rPr>
        <w:t> Nas hipóteses do inciso V deste artigo, quando a área do terreno desses imóveis esteja acima e/ou abaixo do nível da via de circulação de veículos e haja a existência de talude ou mureta artificial, ao par da execução do passeio público pavimentado com no mínimo 1,50m (um metro e cinquenta centímetros) de livre passagem e sem obstáculos, será facultado ao proprietário executar a pavimentação do acesso a garagem e/ou portão de entrada, quando for o caso, em conformidade, em segmentos de inclinação, com o disposto nos artigos 117 a 120 da Lei Complementar n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> 118, de 2017</w:t>
      </w:r>
      <w:r>
        <w:rPr>
          <w:rFonts w:cs="Times New Roman" w:ascii="Times New Roman" w:hAnsi="Times New Roman"/>
          <w:iCs/>
          <w:sz w:val="22"/>
          <w:szCs w:val="22"/>
        </w:rPr>
        <w:t>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§4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> Toda a área ocupada irregularmente com as obras consolidadas e que estejam localizadas sobre o passeio público devem ser demarcadas, em projeto, como “áreas não passíveis de legalização”.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§5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> A legalização de que trata esta Lei Complementar, em especial ao estado de conservação do passeio público, será possível desde que preencham, cumulativamente, aos seguintes requisitos: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a) estejam em bom estado de conservação e atendam a legislação relativa ao “passeio padrão”, quando for o caso;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b) tenham sido executados com material antiderrapante;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c) não possuam degraus, obstáculos ou semelhantes;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d) atendam a legislação relativa à acessibilidade.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§6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> Caso haja a aprovação do projeto de legalização, com base nesta Lei Complementar, as obras erigidas sobre o passeio público não poderão ser ampliadas, modificadas e/ou reformadas, salvo em circunstâncias excepcionais, devidamente fundamentadas e aprovadas pelo Poder Executivo.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§7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> Em caso de demolição da parte da obra localizada sobre o passeio público, ressalvado o disposto no §6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> deste artigo, o proprietário deverá obedecer, em caso de reforma ou reconstrução, ao gabarito previsto para a respectiva via pública e aos índices urbanísticos previstos na legislação vigente.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bookmarkStart w:id="10" w:name="_Hlk74748326"/>
      <w:r>
        <w:rPr>
          <w:rFonts w:cs="Times New Roman" w:ascii="Times New Roman" w:hAnsi="Times New Roman"/>
          <w:sz w:val="22"/>
          <w:szCs w:val="22"/>
          <w:lang w:eastAsia="pt-BR"/>
        </w:rPr>
        <w:t>§8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> </w:t>
      </w:r>
      <w:bookmarkEnd w:id="10"/>
      <w:r>
        <w:rPr>
          <w:rFonts w:cs="Times New Roman" w:ascii="Times New Roman" w:hAnsi="Times New Roman"/>
          <w:sz w:val="22"/>
          <w:szCs w:val="22"/>
          <w:lang w:eastAsia="pt-BR"/>
        </w:rPr>
        <w:t>Apurada, em qualquer época, a falsidade dos documentos ou das provas apresentadas para a legalização, o alvará de legalização, a carta de habitação e/ou a certidão de existência será(ão) cancelado(s) e o interessado sujeitar-se-á às sanções civis, administrativas e criminais previstas na legislação aplicável.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Art. 4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vertAlign w:val="subscript"/>
          <w:lang w:eastAsia="pt-BR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eastAsia="pt-BR"/>
        </w:rPr>
        <w:t>Para todos os casos dispostos nesta Lei Complementar sobre obras executadas sobre parte do passeio público, para a comprovação de sua consolidação, devem apresentar, no mínimo, um dos seguintes documentos: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a) fotografia do local com registro de data;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b) declaração do interessado ou procurador, sob as penas da lei, com firma reconhecida ou assinada por duas testemunhas, na qual deverá ser mencionada expressamente a responsabilidade do declarante pelas informações prestadas sobre o tempo da ocupação sobre o passeio público.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CAPÍTULO III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DOS PROCEDIMENTOS E DA(S) MULTA(S) DE LEGALIZAÇÃO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</w:rPr>
        <w:t>Art. 5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2"/>
          <w:szCs w:val="22"/>
        </w:rPr>
        <w:t xml:space="preserve"> O </w:t>
      </w:r>
      <w:r>
        <w:rPr>
          <w:rFonts w:cs="Times New Roman" w:ascii="Times New Roman" w:hAnsi="Times New Roman"/>
          <w:bCs/>
          <w:sz w:val="22"/>
          <w:szCs w:val="22"/>
          <w:lang w:eastAsia="pt-BR"/>
        </w:rPr>
        <w:t xml:space="preserve">Poder Executivo, com base nos preceitos desta Lei </w:t>
      </w:r>
      <w:r>
        <w:rPr>
          <w:rFonts w:cs="Times New Roman" w:ascii="Times New Roman" w:hAnsi="Times New Roman"/>
          <w:sz w:val="22"/>
          <w:szCs w:val="22"/>
          <w:lang w:eastAsia="pt-BR"/>
        </w:rPr>
        <w:t>Complementar</w:t>
      </w:r>
      <w:r>
        <w:rPr>
          <w:rFonts w:cs="Times New Roman" w:ascii="Times New Roman" w:hAnsi="Times New Roman"/>
          <w:bCs/>
          <w:sz w:val="22"/>
          <w:szCs w:val="22"/>
          <w:lang w:eastAsia="pt-BR"/>
        </w:rPr>
        <w:t>, fica autorizado a proceder na análise e, conforme o caso, aprovar e emitir os correspondentes documentos de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  <w:lang w:eastAsia="pt-BR"/>
        </w:rPr>
        <w:t>legalização, confeccionando e fornecendo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, conforme o caso, </w:t>
      </w:r>
      <w:r>
        <w:rPr>
          <w:rFonts w:cs="Times New Roman" w:ascii="Times New Roman" w:hAnsi="Times New Roman"/>
          <w:bCs/>
          <w:sz w:val="22"/>
          <w:szCs w:val="22"/>
          <w:lang w:eastAsia="pt-BR"/>
        </w:rPr>
        <w:t xml:space="preserve">os atinentes documentos do 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alvará de legalização, da carta de habitação e/ou certidão de existência em relação aos imóveis que sejam objeto de pedido de legalização protocolizado perante a Secretaria Municipal de Planejamento e Habitação </w:t>
      </w:r>
      <w:bookmarkStart w:id="11" w:name="_Hlk73544844"/>
      <w:r>
        <w:rPr>
          <w:rFonts w:cs="Times New Roman" w:ascii="Times New Roman" w:hAnsi="Times New Roman"/>
          <w:sz w:val="22"/>
          <w:szCs w:val="22"/>
          <w:lang w:eastAsia="pt-BR"/>
        </w:rPr>
        <w:t>ou ao órgão que lhe vier a substituir na estrutura administrativa</w:t>
      </w:r>
      <w:bookmarkEnd w:id="11"/>
      <w:r>
        <w:rPr>
          <w:rFonts w:cs="Times New Roman" w:ascii="Times New Roman" w:hAnsi="Times New Roman"/>
          <w:sz w:val="22"/>
          <w:szCs w:val="22"/>
          <w:lang w:eastAsia="pt-BR"/>
        </w:rPr>
        <w:t xml:space="preserve"> do Poder Executivo, mediante o recolhimento da multa apurada, devendo na tramitação do processo administrativo ocorrer o cumprimento dos seguintes atos: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I – apresentação de projeto técnico identificando a hipótese de enquadramento, nos termos do art.</w:t>
      </w:r>
      <w:r>
        <w:rPr>
          <w:rFonts w:cs="Times New Roman" w:ascii="Times New Roman" w:hAnsi="Times New Roman"/>
          <w:sz w:val="22"/>
          <w:szCs w:val="22"/>
        </w:rPr>
        <w:t xml:space="preserve"> 3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 desta, bem como às imanentes áreas do passeio público e, quando for o caso, do recuo frontal invadido;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II – declaração, pelo(s) proprietário(s), em caráter irrestrito, irrevogável e irretratável, sob às penas da lei, de que está ciente e se obriga que, caso o Município de Santa Rosa necessite alargar a via pública ou utilizar a área ocupada irregularmente, procederá à demolição da parte invadida, às suas expensas, mantendo-a preservada, sendo que tal declaração constará nas observações da Carta de Habitação.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§1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 Para a legalização de obras que invadam parcialmente o passeio público haverá a aplicação de multa, que será calculada em conformidade com o que segue: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 xml:space="preserve">I – nos casos onde a ocupação da área invadida for por obras relativas a fechamento do lote, com características de: muros, muretas, cercas, grades e similares e muretas de entrada de energia/água, caberá a aplicação de multa de legalização que será calculada, no percentual de 5% (cinco por cento) do valor do custo unitário básico ponderado da construção civil – CUB, do mês de referência agosto de 2017, devidamente atualizado mensalmente pelo Índice Nacional de Custo da Construção Civil – INCC, da Fundação Getúlio Vargas, por metro quadrado de área ocupada sobre o passeio público.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 xml:space="preserve">II – para os casos onde a ocupação da área invadida for com edificações ocorrerá o pagamento de multa, no percentual de 10% (dez por cento) do valor do custo unitário básico ponderado da construção civil – CUB, do mês de referência agosto de 2017, devidamente atualizado mensalmente pelo Índice Nacional de Custo da Construção Civil – INCC, da Fundação Getúlio Vargas, por metro quadrado de área edificada sobre o passeio público, conforme o caso.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trike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§2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 O pedido de legalização será analisado pelo setor técnico competente da Secretaria Municipal de Planejamento e Habitação ou ao órgão que lhe vier a substituir na estrutura administrativa do Poder Executivo.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Cs/>
          <w:iCs/>
          <w:sz w:val="22"/>
          <w:szCs w:val="22"/>
        </w:rPr>
        <w:t>§3</w:t>
      </w:r>
      <w:r>
        <w:rPr>
          <w:rFonts w:cs="Times New Roman" w:ascii="Times New Roman" w:hAnsi="Times New Roman"/>
          <w:bCs/>
          <w:iCs/>
          <w:sz w:val="22"/>
          <w:szCs w:val="22"/>
          <w:u w:val="single"/>
          <w:vertAlign w:val="superscript"/>
        </w:rPr>
        <w:t>o</w:t>
      </w:r>
      <w:r>
        <w:rPr>
          <w:rFonts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Para fins da efetivação da legalização das hipóteses previstas no inciso V do art.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 3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 desta Lei Complementar, </w:t>
      </w:r>
      <w:r>
        <w:rPr>
          <w:rFonts w:cs="Times New Roman" w:ascii="Times New Roman" w:hAnsi="Times New Roman"/>
          <w:sz w:val="22"/>
          <w:szCs w:val="22"/>
        </w:rPr>
        <w:t xml:space="preserve">caso os respectivos </w:t>
      </w:r>
      <w:r>
        <w:rPr>
          <w:rFonts w:cs="Times New Roman" w:ascii="Times New Roman" w:hAnsi="Times New Roman"/>
          <w:sz w:val="22"/>
          <w:szCs w:val="22"/>
          <w:lang w:eastAsia="pt-BR"/>
        </w:rPr>
        <w:t>passeios públicos estejam executados em padrões construtivos de acessibilidade mínima em consonância com às prescrições do Decreto Federal n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 5.296, de 2 de dezembro de 2004 e da Associação Brasileira de Normas Técnicas (ABNT), bem como haja a feitura da pavimentação mínima em medida não inferior a 1,50 m (um metro e cinquenta centímetros) e, ainda, seja mantido o restante do passeio com sua inclinação natural livre de grades, cercas e demais elementos construtivos, descontadas árvores e/ou postes das redes de energia e telefonia, </w:t>
      </w:r>
      <w:r>
        <w:rPr>
          <w:rFonts w:cs="Times New Roman" w:ascii="Times New Roman" w:hAnsi="Times New Roman"/>
          <w:sz w:val="22"/>
          <w:szCs w:val="22"/>
        </w:rPr>
        <w:t xml:space="preserve">o Poder Executivo </w:t>
      </w:r>
      <w:r>
        <w:rPr>
          <w:rFonts w:cs="Times New Roman" w:ascii="Times New Roman" w:hAnsi="Times New Roman"/>
          <w:bCs/>
          <w:sz w:val="22"/>
          <w:szCs w:val="22"/>
          <w:lang w:eastAsia="pt-BR"/>
        </w:rPr>
        <w:t>emitirá os atinentes documentos de legalização sem a aplicação de multa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§4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> Para todos os fins que se fizerem necessários, nos termos desta Lei Complementar, o pagamento de multa não gera direito de propriedade sobre a área erigida sobre ou no passeio público.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CAPÍTULO IV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DAS HIPÓTESES DE ENQUADRAMENTO, CONDIÇÕES E REQUISITOS DE REGULARIZAÇÃO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eastAsia="pt-BR"/>
        </w:rPr>
        <w:t>DE IMÓVEIS EM RELAÇÃO À TAXA DE PERMEABILIDADE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eastAsia="pt-BR"/>
        </w:rPr>
        <w:t>E REAPROVEITAMENTO DAS ÀGUAS PLUVIAIS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color w:val="4472C4"/>
          <w:sz w:val="22"/>
          <w:szCs w:val="22"/>
          <w:lang w:eastAsia="pt-BR"/>
        </w:rPr>
      </w:pPr>
      <w:r>
        <w:rPr>
          <w:rFonts w:cs="Times New Roman" w:ascii="Times New Roman" w:hAnsi="Times New Roman"/>
          <w:color w:val="4472C4"/>
          <w:sz w:val="22"/>
          <w:szCs w:val="22"/>
          <w:lang w:eastAsia="pt-BR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Art. 6</w:t>
      </w:r>
      <w:r>
        <w:rPr>
          <w:rFonts w:cs="Times New Roman" w:ascii="Times New Roman" w:hAnsi="Times New Roman"/>
          <w:bCs/>
          <w:sz w:val="22"/>
          <w:szCs w:val="22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2"/>
          <w:szCs w:val="22"/>
        </w:rPr>
        <w:t xml:space="preserve"> Ficam instituídos </w:t>
      </w:r>
      <w:r>
        <w:rPr>
          <w:rFonts w:cs="Times New Roman" w:ascii="Times New Roman" w:hAnsi="Times New Roman"/>
          <w:bCs/>
          <w:sz w:val="22"/>
          <w:szCs w:val="22"/>
        </w:rPr>
        <w:t xml:space="preserve">critérios de regularização de imóveis, situados dentro do perímetro urbano, que descumpriram a taxa de permeabilidade, </w:t>
      </w:r>
      <w:r>
        <w:rPr>
          <w:rFonts w:cs="Times New Roman" w:ascii="Times New Roman" w:hAnsi="Times New Roman"/>
          <w:iCs/>
          <w:sz w:val="22"/>
          <w:szCs w:val="22"/>
        </w:rPr>
        <w:t>conforme a zona em que se situam,</w:t>
      </w:r>
      <w:r>
        <w:rPr>
          <w:rFonts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estabelecendo que para o atingimento da taxa mínima de permeabilidade constante da</w:t>
      </w:r>
      <w:r>
        <w:rPr>
          <w:rFonts w:cs="Times New Roman" w:ascii="Times New Roman" w:hAnsi="Times New Roman"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Lei Complementar n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2"/>
          <w:szCs w:val="22"/>
        </w:rPr>
        <w:t xml:space="preserve"> 118, de 2017, </w:t>
      </w:r>
      <w:r>
        <w:rPr>
          <w:rFonts w:cs="Times New Roman" w:ascii="Times New Roman" w:hAnsi="Times New Roman"/>
          <w:iCs/>
          <w:sz w:val="22"/>
          <w:szCs w:val="22"/>
        </w:rPr>
        <w:t xml:space="preserve">se permite que até </w:t>
      </w:r>
      <w:r>
        <w:rPr>
          <w:rFonts w:cs="Times New Roman" w:ascii="Times New Roman" w:hAnsi="Times New Roman"/>
          <w:sz w:val="22"/>
          <w:szCs w:val="22"/>
        </w:rPr>
        <w:t xml:space="preserve">50% (cinquenta por cento) da taxa mínima de permeabilidade seja cumprida com a </w:t>
      </w:r>
      <w:r>
        <w:rPr>
          <w:rFonts w:cs="Times New Roman" w:ascii="Times New Roman" w:hAnsi="Times New Roman"/>
          <w:sz w:val="22"/>
          <w:szCs w:val="22"/>
          <w:lang w:eastAsia="pt-BR"/>
        </w:rPr>
        <w:t>adoção de reservatório para retenção e reaproveitamento de águas pluviais.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iCs/>
          <w:sz w:val="22"/>
          <w:szCs w:val="22"/>
        </w:rPr>
        <w:t xml:space="preserve">     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Art. 7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 Observado o disposto no artigo antecedente desta Lei Complementar, poderão ser objeto de análise e enquadramento os proprietários dos imóveis que optarem por promover o reaproveitamento das águas pluviais, conforme o caso, nas hipóteses a seguir descritas: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I – nos imóveis que adotarem o reservatório para retenção e reaproveitamento de águas pluviais, dimensionados de acordo com os critérios estabelecidos nesta Lei Complementar, em conformidade com o percentual estabelecido no artigo antecedente</w:t>
      </w:r>
      <w:r>
        <w:rPr>
          <w:rFonts w:cs="Times New Roman" w:ascii="Times New Roman" w:hAnsi="Times New Roman"/>
          <w:iCs/>
          <w:sz w:val="22"/>
          <w:szCs w:val="22"/>
        </w:rPr>
        <w:t>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II – o restante da área do lote prevista na legislação e destinada a permeabilidade deverá ser preservada, sob pena do previsto no §2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> do a</w:t>
      </w:r>
      <w:r>
        <w:rPr>
          <w:rFonts w:cs="Times New Roman" w:ascii="Times New Roman" w:hAnsi="Times New Roman"/>
          <w:iCs/>
          <w:sz w:val="22"/>
          <w:szCs w:val="22"/>
          <w:lang w:eastAsia="pt-BR"/>
        </w:rPr>
        <w:t xml:space="preserve">rtigo 243, </w:t>
      </w:r>
      <w:r>
        <w:rPr>
          <w:rFonts w:cs="Times New Roman" w:ascii="Times New Roman" w:hAnsi="Times New Roman"/>
          <w:sz w:val="22"/>
          <w:szCs w:val="22"/>
          <w:lang w:eastAsia="pt-BR"/>
        </w:rPr>
        <w:t>e no inciso II, e §3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> do art. 244, todos da Lei Complementar n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 118, de 2017</w:t>
      </w:r>
      <w:r>
        <w:rPr>
          <w:rFonts w:cs="Times New Roman" w:ascii="Times New Roman" w:hAnsi="Times New Roman"/>
          <w:iCs/>
          <w:sz w:val="22"/>
          <w:szCs w:val="22"/>
          <w:lang w:eastAsia="pt-BR"/>
        </w:rPr>
        <w:t xml:space="preserve">, </w:t>
      </w:r>
      <w:r>
        <w:rPr>
          <w:rFonts w:cs="Times New Roman" w:ascii="Times New Roman" w:hAnsi="Times New Roman"/>
          <w:sz w:val="22"/>
          <w:szCs w:val="22"/>
          <w:lang w:eastAsia="pt-BR"/>
        </w:rPr>
        <w:t>por metro quadrado não preservado;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III – para aderir ao instituído nesta Lei Complementar, deverá haver solicitação expressa do proprietário do imóvel em requerimento protocolado nos meios disponibilizados pelo Município, com informação nos seguintes documentos: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</w:rPr>
        <w:t>a)  no projeto de implantação hidrossanitária;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</w:rPr>
        <w:t>b) no protocolo de licenciamento da edificação, com a localização do reservatório, bem como o seu volume;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c) na ART (Anotação de Responsabilidade Técnica), RRT (Registro de Responsabilidade Técnica) ou outro documento emitido por Conselho de Classe, sobre a responsabilidade técnica pelo projeto e execução deste serviço.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IV – para fins de dimensionamento mínimo de reservação deverá ser observado que, em razão da média pluviométrica para a cidade de Santa Rosa, será considerada a compensação de cada 10m² (dez metros quadrados) de área, que não atendem a permeabilidade, estabelecendo a captação mínima de 500 (quinhentos) litros, este cálculo será estendido proporcionalmente às demais metragens, tanto superiores quanto inferiores, ao estabelecido neste inciso;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V – a implantação deste mecanismo de captação de águas pluviais deverá armazenar águas coletadas para posterior utilização em atividades que não exijam o uso de água tratada, tais como: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</w:rPr>
        <w:t>a) irrigação de jardins e hortas;</w:t>
      </w:r>
    </w:p>
    <w:p>
      <w:pPr>
        <w:pStyle w:val="Normal"/>
        <w:spacing w:before="0" w:after="0"/>
        <w:ind w:left="851" w:hanging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b) lavagem de roupas;</w:t>
      </w:r>
    </w:p>
    <w:p>
      <w:pPr>
        <w:pStyle w:val="Normal"/>
        <w:spacing w:before="0" w:after="0"/>
        <w:ind w:left="851" w:hanging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c) lavagem de veículos;</w:t>
      </w:r>
    </w:p>
    <w:p>
      <w:pPr>
        <w:pStyle w:val="Normal"/>
        <w:spacing w:before="0" w:after="0"/>
        <w:ind w:left="851" w:hanging="0"/>
        <w:contextualSpacing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</w:rPr>
        <w:t>d) lavagem de esquadrias, calçadas, pisos, entre outros.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VI – Será de responsabilidade do proprietário do imóvel a contratação de responsável técnico habilitado que realizará: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</w:rPr>
        <w:t xml:space="preserve">a) o projeto de captação, o dimensionamento do armazenamento, se diferente do mínimo estabelecido nesta Lei </w:t>
      </w:r>
      <w:r>
        <w:rPr>
          <w:rFonts w:cs="Times New Roman" w:ascii="Times New Roman" w:hAnsi="Times New Roman"/>
          <w:sz w:val="22"/>
          <w:szCs w:val="22"/>
          <w:lang w:eastAsia="pt-BR"/>
        </w:rPr>
        <w:t>Complementar</w:t>
      </w:r>
      <w:r>
        <w:rPr>
          <w:rFonts w:cs="Times New Roman" w:ascii="Times New Roman" w:hAnsi="Times New Roman"/>
          <w:sz w:val="22"/>
          <w:szCs w:val="22"/>
        </w:rPr>
        <w:t>, e das redes de distribuição;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b) o tratamento destas águas servidas;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</w:rPr>
        <w:t>c) a identificação destas redes e pontos de consumo, com a designação de “água não potável”.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 xml:space="preserve">VII – todos os tipos de edificações que necessitem regularizar a taxa de permeabilidade poderão submeter seu pedido com base nesta Lei Complementar, sendo facultado ao proprietário do imóvel efetuar a adequação com o reaproveitamento das águas pluviais ou se submeter aos ditames da </w:t>
      </w:r>
      <w:r>
        <w:rPr>
          <w:rFonts w:cs="Times New Roman" w:ascii="Times New Roman" w:hAnsi="Times New Roman"/>
          <w:sz w:val="22"/>
          <w:szCs w:val="22"/>
        </w:rPr>
        <w:t>Lei Complementar n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2"/>
          <w:szCs w:val="22"/>
        </w:rPr>
        <w:t xml:space="preserve"> 118, de 2017.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CAPÍTULO V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 xml:space="preserve">DAS DISPOSIÇÕES FINAIS E TRANSITÓRIAS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Art. 8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 O Poder Executivo, por intermédio da Secretaria Municipal de Administração e Fazenda ou órgão que lhe vier a substituir na sua estrutura administrativa, destinará 50% (cinquenta por cento) do montante de valores oriundos das multas de que trata esta Lei Complementar ao </w:t>
      </w:r>
      <w:r>
        <w:rPr>
          <w:rFonts w:cs="Times New Roman" w:ascii="Times New Roman" w:hAnsi="Times New Roman"/>
          <w:sz w:val="22"/>
          <w:szCs w:val="22"/>
        </w:rPr>
        <w:t xml:space="preserve">Fundo Municipal de Habitação, Planejamento e Gestão Participativa de que tratam </w:t>
      </w:r>
      <w:r>
        <w:rPr>
          <w:rFonts w:cs="Times New Roman" w:ascii="Times New Roman" w:hAnsi="Times New Roman"/>
          <w:iCs/>
          <w:sz w:val="22"/>
          <w:szCs w:val="22"/>
        </w:rPr>
        <w:t xml:space="preserve">a </w:t>
      </w:r>
      <w:r>
        <w:rPr>
          <w:rFonts w:cs="Times New Roman" w:ascii="Times New Roman" w:hAnsi="Times New Roman"/>
          <w:sz w:val="22"/>
          <w:szCs w:val="22"/>
        </w:rPr>
        <w:t>Lei Complementar n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2"/>
          <w:szCs w:val="22"/>
        </w:rPr>
        <w:t xml:space="preserve"> 118, de 2017, a </w:t>
      </w:r>
      <w:r>
        <w:rPr>
          <w:rFonts w:cs="Times New Roman" w:ascii="Times New Roman" w:hAnsi="Times New Roman"/>
          <w:bCs/>
          <w:sz w:val="22"/>
          <w:szCs w:val="22"/>
          <w:lang w:eastAsia="pt-BR"/>
        </w:rPr>
        <w:t xml:space="preserve">Lei </w:t>
      </w:r>
      <w:r>
        <w:rPr>
          <w:rFonts w:cs="Times New Roman" w:ascii="Times New Roman" w:hAnsi="Times New Roman"/>
          <w:sz w:val="22"/>
          <w:szCs w:val="22"/>
        </w:rPr>
        <w:t>n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  <w:lang w:eastAsia="pt-BR"/>
        </w:rPr>
        <w:t>4.557, de 21 de agosto de 2009 e suas alterações, sendo que o restante de 50% (cinquenta por cento) será destinado ao caixa geral</w:t>
      </w:r>
      <w:r>
        <w:rPr>
          <w:rFonts w:cs="Times New Roman" w:ascii="Times New Roman" w:hAnsi="Times New Roman"/>
          <w:sz w:val="22"/>
          <w:szCs w:val="22"/>
          <w:lang w:eastAsia="pt-BR"/>
        </w:rPr>
        <w:t>.</w:t>
      </w:r>
    </w:p>
    <w:p>
      <w:pPr>
        <w:pStyle w:val="Normal"/>
        <w:spacing w:before="0" w:after="0"/>
        <w:ind w:right="-57" w:firstLine="851"/>
        <w:contextualSpacing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Art. 9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  <w:lang w:eastAsia="pt-BR"/>
        </w:rPr>
        <w:t>o</w:t>
      </w:r>
      <w:r>
        <w:rPr>
          <w:rFonts w:cs="Times New Roman" w:ascii="Times New Roman" w:hAnsi="Times New Roman"/>
          <w:sz w:val="22"/>
          <w:szCs w:val="22"/>
          <w:lang w:eastAsia="pt-BR"/>
        </w:rPr>
        <w:t> Os proprietários de imóveis que não apresentarem pedido de legalização por ocupação irregular do passeio público no período de vigência desta Lei Complementar estarão sujeitos a multas e sanções, podendo ser autuados, determinada a retirada do obstáculo e se for o caso demolição, assim como a responsabilização pela recuperação do passeio público ocupado de maneira irregular.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 xml:space="preserve">Art. 10. Será dada ampla publicidade da campanha de incentivo a </w:t>
      </w:r>
      <w:bookmarkStart w:id="12" w:name="_Hlk73546808"/>
      <w:r>
        <w:rPr>
          <w:rFonts w:cs="Times New Roman" w:ascii="Times New Roman" w:hAnsi="Times New Roman"/>
          <w:sz w:val="22"/>
          <w:szCs w:val="22"/>
          <w:lang w:eastAsia="pt-BR"/>
        </w:rPr>
        <w:t>legalização</w:t>
      </w:r>
      <w:bookmarkEnd w:id="12"/>
      <w:r>
        <w:rPr>
          <w:rFonts w:cs="Times New Roman" w:ascii="Times New Roman" w:hAnsi="Times New Roman"/>
          <w:sz w:val="22"/>
          <w:szCs w:val="22"/>
          <w:lang w:eastAsia="pt-BR"/>
        </w:rPr>
        <w:t xml:space="preserve"> de imóveis de que trata esta Lei Complementar, cabendo ao Poder Executivo, por intermédio de seus órgãos, sem prejuízo da adoção de outras ações correlatas, efetivar as seguintes providências: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I – enviar informações acerca das disposições desta Lei Complementar aos proprietários dos imóveis identificados como passíveis de legalização;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II – veiculação de informações nos carnês do Imposto sobre a Propriedade Predial e Territorial Urbana – IPTU;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III – desenvolvimento de outros tipos de informes publicitários.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Art. 11. </w:t>
      </w:r>
      <w:r>
        <w:rPr>
          <w:rFonts w:cs="Times New Roman" w:ascii="Times New Roman" w:hAnsi="Times New Roman"/>
          <w:sz w:val="22"/>
          <w:szCs w:val="22"/>
        </w:rPr>
        <w:t xml:space="preserve">As despesas decorrentes desta Lei </w:t>
      </w:r>
      <w:r>
        <w:rPr>
          <w:rFonts w:cs="Times New Roman" w:ascii="Times New Roman" w:hAnsi="Times New Roman"/>
          <w:sz w:val="22"/>
          <w:szCs w:val="22"/>
          <w:lang w:eastAsia="pt-BR"/>
        </w:rPr>
        <w:t>Complementar</w:t>
      </w:r>
      <w:r>
        <w:rPr>
          <w:rFonts w:cs="Times New Roman" w:ascii="Times New Roman" w:hAnsi="Times New Roman"/>
          <w:sz w:val="22"/>
          <w:szCs w:val="22"/>
        </w:rPr>
        <w:t xml:space="preserve"> correrão por conta de dotações orçamentárias próprias do Poder Executivo do Município de Santa Rosa.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Art. 12. </w:t>
      </w:r>
      <w:r>
        <w:rPr>
          <w:rFonts w:cs="Times New Roman" w:ascii="Times New Roman" w:hAnsi="Times New Roman"/>
          <w:bCs/>
          <w:sz w:val="22"/>
          <w:szCs w:val="22"/>
        </w:rPr>
        <w:t xml:space="preserve">O Poder Executivo aplicará, conforme a hipótese, as disposições da </w:t>
      </w:r>
      <w:r>
        <w:rPr>
          <w:rFonts w:cs="Times New Roman" w:ascii="Times New Roman" w:hAnsi="Times New Roman"/>
          <w:sz w:val="22"/>
          <w:szCs w:val="22"/>
        </w:rPr>
        <w:t>Lei Federal n</w:t>
      </w:r>
      <w:r>
        <w:rPr>
          <w:rFonts w:cs="Times New Roman" w:ascii="Times New Roman" w:hAnsi="Times New Roman"/>
          <w:sz w:val="22"/>
          <w:szCs w:val="22"/>
          <w:u w:val="single"/>
          <w:vertAlign w:val="superscript"/>
        </w:rPr>
        <w:t>o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13.726, de 8 de outubro de 2018, a</w:t>
      </w:r>
      <w:r>
        <w:rPr>
          <w:rFonts w:cs="Times New Roman" w:ascii="Times New Roman" w:hAnsi="Times New Roman"/>
          <w:sz w:val="22"/>
          <w:szCs w:val="22"/>
        </w:rPr>
        <w:t xml:space="preserve">os documentos e demais expedientes dos processos administrativos relacionados com as ações decorrentes desta Lei </w:t>
      </w:r>
      <w:r>
        <w:rPr>
          <w:rFonts w:cs="Times New Roman" w:ascii="Times New Roman" w:hAnsi="Times New Roman"/>
          <w:sz w:val="22"/>
          <w:szCs w:val="22"/>
          <w:lang w:eastAsia="pt-BR"/>
        </w:rPr>
        <w:t>Complementar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Art. 13.</w:t>
      </w:r>
      <w:r>
        <w:rPr>
          <w:rFonts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O Poder Executivo regulamentará, no que couber, esta Lei </w:t>
      </w:r>
      <w:r>
        <w:rPr>
          <w:rFonts w:cs="Times New Roman" w:ascii="Times New Roman" w:hAnsi="Times New Roman"/>
          <w:sz w:val="22"/>
          <w:szCs w:val="22"/>
          <w:lang w:eastAsia="pt-BR"/>
        </w:rPr>
        <w:t>Complementar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Art. 14.</w:t>
      </w:r>
      <w:r>
        <w:rPr>
          <w:rFonts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Esta Lei </w:t>
      </w:r>
      <w:r>
        <w:rPr>
          <w:rFonts w:cs="Times New Roman" w:ascii="Times New Roman" w:hAnsi="Times New Roman"/>
          <w:sz w:val="22"/>
          <w:szCs w:val="22"/>
          <w:lang w:eastAsia="pt-BR"/>
        </w:rPr>
        <w:t>Complementar</w:t>
      </w:r>
      <w:r>
        <w:rPr>
          <w:rFonts w:cs="Times New Roman" w:ascii="Times New Roman" w:hAnsi="Times New Roman"/>
          <w:sz w:val="22"/>
          <w:szCs w:val="22"/>
        </w:rPr>
        <w:t xml:space="preserve"> entra em vigor na data de sua publicação, vigorando pelo período de 4 (quatro) anos.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GABINETE DO PREFEITO MUNICIPAL DE SANTA ROSA, EM 15 DE JULHO DE 2021.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before="0" w:after="0"/>
        <w:ind w:left="67" w:firstLine="574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ANDERSON MANTEI,</w:t>
      </w:r>
    </w:p>
    <w:p>
      <w:pPr>
        <w:pStyle w:val="Normal"/>
        <w:spacing w:before="0" w:after="0"/>
        <w:ind w:left="2193" w:firstLine="347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       </w:t>
      </w:r>
      <w:r>
        <w:rPr>
          <w:rFonts w:cs="Times New Roman" w:ascii="Times New Roman" w:hAnsi="Times New Roman"/>
          <w:sz w:val="23"/>
          <w:szCs w:val="23"/>
        </w:rPr>
        <w:t>Prefeito Municipal.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Registre-se e publique-se.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 w:cs="Times New Roman"/>
          <w:bCs/>
          <w:sz w:val="23"/>
          <w:szCs w:val="23"/>
          <w:shd w:fill="FFFFFF" w:val="clear"/>
        </w:rPr>
      </w:pPr>
      <w:r>
        <w:rPr>
          <w:rFonts w:cs="Times New Roman" w:ascii="Times New Roman" w:hAnsi="Times New Roman"/>
          <w:bCs/>
          <w:sz w:val="23"/>
          <w:szCs w:val="23"/>
          <w:shd w:fill="FFFFFF" w:val="clear"/>
        </w:rPr>
        <w:t>ALDEMIR EDUARDO ULRICH,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Vice-Prefeito Municipal.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440" w:footer="227" w:bottom="68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entury Schoolbo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  <w:sz w:val="22"/>
        <w:szCs w:val="22"/>
      </w:rPr>
    </w:pPr>
    <w:r>
      <w:rPr>
        <w:rFonts w:cs="Times New Roman" w:ascii="Times New Roman" w:hAnsi="Times New Roman"/>
        <w:sz w:val="22"/>
        <w:szCs w:val="22"/>
      </w:rPr>
      <w:t xml:space="preserve">Centro Administrativo Municipal </w:t>
    </w:r>
    <w:r>
      <w:rPr>
        <w:rFonts w:eastAsia="Arial" w:cs="Times New Roman" w:ascii="Times New Roman" w:hAnsi="Times New Roman"/>
        <w:sz w:val="22"/>
        <w:szCs w:val="22"/>
      </w:rPr>
      <w:t xml:space="preserve">– </w:t>
    </w:r>
    <w:r>
      <w:rPr>
        <w:rFonts w:cs="Times New Roman" w:ascii="Times New Roman" w:hAnsi="Times New Roman"/>
        <w:sz w:val="22"/>
        <w:szCs w:val="22"/>
      </w:rPr>
      <w:t xml:space="preserve">Palácio </w:t>
    </w:r>
    <w:r>
      <w:rPr>
        <w:rFonts w:cs="Times New Roman" w:ascii="Times New Roman" w:hAnsi="Times New Roman"/>
        <w:i/>
        <w:iCs/>
        <w:sz w:val="22"/>
        <w:szCs w:val="22"/>
      </w:rPr>
      <w:t>“14 de Julho”</w:t>
    </w:r>
  </w:p>
  <w:p>
    <w:pPr>
      <w:pStyle w:val="Rodap"/>
      <w:jc w:val="center"/>
      <w:rPr>
        <w:sz w:val="22"/>
        <w:szCs w:val="22"/>
      </w:rPr>
    </w:pPr>
    <w:r>
      <w:rPr>
        <w:sz w:val="22"/>
        <w:szCs w:val="22"/>
      </w:rPr>
      <w:t>Av.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Expedicionário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Weber,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2983</w:t>
    </w:r>
    <w:r>
      <w:rPr>
        <w:rFonts w:eastAsia="Arial"/>
        <w:sz w:val="22"/>
        <w:szCs w:val="22"/>
      </w:rPr>
      <w:t xml:space="preserve"> – </w:t>
    </w:r>
    <w:r>
      <w:rPr>
        <w:sz w:val="22"/>
        <w:szCs w:val="22"/>
      </w:rPr>
      <w:t>CEP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98789-000</w:t>
    </w:r>
    <w:r>
      <w:rPr>
        <w:rFonts w:eastAsia="Arial"/>
        <w:sz w:val="22"/>
        <w:szCs w:val="22"/>
      </w:rPr>
      <w:t xml:space="preserve"> – </w:t>
    </w:r>
    <w:r>
      <w:rPr>
        <w:sz w:val="22"/>
        <w:szCs w:val="22"/>
      </w:rPr>
      <w:t>Santa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Rosa</w:t>
    </w:r>
    <w:r>
      <w:rPr>
        <w:rFonts w:eastAsia="Arial"/>
        <w:sz w:val="22"/>
        <w:szCs w:val="22"/>
      </w:rPr>
      <w:t xml:space="preserve"> – </w:t>
    </w:r>
    <w:r>
      <w:rPr>
        <w:sz w:val="22"/>
        <w:szCs w:val="22"/>
      </w:rPr>
      <w:t>RS</w:t>
    </w:r>
  </w:p>
  <w:p>
    <w:pPr>
      <w:pStyle w:val="Rodap"/>
      <w:jc w:val="center"/>
      <w:rPr>
        <w:sz w:val="22"/>
        <w:szCs w:val="22"/>
      </w:rPr>
    </w:pPr>
    <w:r>
      <w:rPr>
        <w:sz w:val="22"/>
        <w:szCs w:val="22"/>
      </w:rPr>
      <w:t>Fone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(55)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3511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5100</w:t>
    </w:r>
    <w:r>
      <w:rPr>
        <w:rFonts w:eastAsia="Arial"/>
        <w:sz w:val="22"/>
        <w:szCs w:val="22"/>
      </w:rPr>
      <w:t xml:space="preserve"> – </w:t>
    </w:r>
    <w:r>
      <w:rPr>
        <w:sz w:val="22"/>
        <w:szCs w:val="22"/>
      </w:rPr>
      <w:t>Fax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(55)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3511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7621</w:t>
    </w:r>
  </w:p>
  <w:p>
    <w:pPr>
      <w:pStyle w:val="Rodap"/>
      <w:jc w:val="center"/>
      <w:rPr>
        <w:b/>
        <w:b/>
        <w:i/>
        <w:i/>
      </w:rPr>
    </w:pPr>
    <w:r>
      <w:rPr>
        <w:b/>
        <w:i/>
        <w:sz w:val="20"/>
      </w:rPr>
      <w:t>"DOE ÓRGÃOS, DOE SANGUE: SALVE VIDAS"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0"/>
      </w:rPr>
    </w:pPr>
    <w:r>
      <w:drawing>
        <wp:anchor behindDoc="1" distT="0" distB="0" distL="114935" distR="114935" simplePos="0" locked="0" layoutInCell="0" allowOverlap="1" relativeHeight="6">
          <wp:simplePos x="0" y="0"/>
          <wp:positionH relativeFrom="margin">
            <wp:posOffset>2762250</wp:posOffset>
          </wp:positionH>
          <wp:positionV relativeFrom="paragraph">
            <wp:posOffset>28575</wp:posOffset>
          </wp:positionV>
          <wp:extent cx="506095" cy="622935"/>
          <wp:effectExtent l="0" t="0" r="0" b="0"/>
          <wp:wrapTopAndBottom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M</w:t>
    </w:r>
    <w:r>
      <w:rPr>
        <w:sz w:val="20"/>
      </w:rPr>
      <w:t>UNICÍPIO</w:t>
    </w:r>
    <w:r>
      <w:rPr>
        <w:rFonts w:eastAsia="Arial"/>
        <w:sz w:val="20"/>
      </w:rPr>
      <w:t xml:space="preserve"> </w:t>
    </w:r>
    <w:r>
      <w:rPr>
        <w:sz w:val="20"/>
      </w:rPr>
      <w:t>DE</w:t>
    </w:r>
    <w:r>
      <w:rPr>
        <w:rFonts w:eastAsia="Arial"/>
        <w:sz w:val="20"/>
      </w:rPr>
      <w:t xml:space="preserve"> </w:t>
    </w:r>
    <w:r>
      <w:rPr>
        <w:sz w:val="20"/>
      </w:rPr>
      <w:t>SANTA</w:t>
    </w:r>
    <w:r>
      <w:rPr>
        <w:rFonts w:eastAsia="Arial"/>
        <w:sz w:val="20"/>
      </w:rPr>
      <w:t xml:space="preserve"> </w:t>
    </w:r>
    <w:r>
      <w:rPr>
        <w:sz w:val="20"/>
      </w:rPr>
      <w:t>ROSA</w:t>
    </w:r>
  </w:p>
  <w:p>
    <w:pPr>
      <w:pStyle w:val="Cabealho"/>
      <w:spacing w:before="0" w:after="0"/>
      <w:contextualSpacing/>
      <w:jc w:val="center"/>
      <w:rPr/>
    </w:pPr>
    <w:r>
      <w:rPr>
        <w:b/>
        <w:sz w:val="20"/>
      </w:rPr>
      <w:t>PODER EXECUTIVO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2"/>
      <w:sz w:val="24"/>
      <w:szCs w:val="20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tabs>
        <w:tab w:val="clear" w:pos="709"/>
        <w:tab w:val="left" w:pos="0" w:leader="none"/>
      </w:tabs>
      <w:ind w:left="432" w:hanging="432"/>
      <w:jc w:val="center"/>
      <w:outlineLvl w:val="0"/>
    </w:pPr>
    <w:rPr>
      <w:rFonts w:ascii="Times New Roman" w:hAnsi="Times New Roman" w:cs="Times New Roman"/>
      <w:b/>
      <w:bCs/>
      <w:szCs w:val="24"/>
      <w:u w:val="single"/>
    </w:rPr>
  </w:style>
  <w:style w:type="paragraph" w:styleId="Ttulo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tabs>
        <w:tab w:val="clear" w:pos="709"/>
        <w:tab w:val="left" w:pos="0" w:leader="none"/>
      </w:tabs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tabs>
        <w:tab w:val="clear" w:pos="709"/>
        <w:tab w:val="left" w:pos="0" w:leader="none"/>
      </w:tabs>
      <w:spacing w:before="240" w:after="60"/>
      <w:ind w:left="1296" w:hanging="1296"/>
      <w:outlineLvl w:val="6"/>
    </w:pPr>
    <w:rPr>
      <w:rFonts w:ascii="Times New Roman" w:hAnsi="Times New Roman" w:cs="Times New Roman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  <w:b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  <w:b/>
      <w:u w:val="single"/>
    </w:rPr>
  </w:style>
  <w:style w:type="character" w:styleId="Fontepargpadro7" w:customStyle="1">
    <w:name w:val="Fonte parág. padrão7"/>
    <w:qFormat/>
    <w:rPr>
      <w:rFonts w:ascii="Times New Roman" w:hAnsi="Times New Roman" w:eastAsia="Times New Roman" w:cs="Times New Roman"/>
    </w:rPr>
  </w:style>
  <w:style w:type="character" w:styleId="WW8Num1z0" w:customStyle="1">
    <w:name w:val="WW8Num1z0"/>
    <w:qFormat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Pr>
      <w:rFonts w:ascii="Times New Roman" w:hAnsi="Times New Roman" w:eastAsia="Times New Roman" w:cs="Times New Roman"/>
    </w:rPr>
  </w:style>
  <w:style w:type="character" w:styleId="WW8Num1z2" w:customStyle="1">
    <w:name w:val="WW8Num1z2"/>
    <w:qFormat/>
    <w:rPr>
      <w:rFonts w:ascii="Times New Roman" w:hAnsi="Times New Roman" w:eastAsia="Times New Roman" w:cs="Times New Roman"/>
    </w:rPr>
  </w:style>
  <w:style w:type="character" w:styleId="WW8Num1z3" w:customStyle="1">
    <w:name w:val="WW8Num1z3"/>
    <w:qFormat/>
    <w:rPr>
      <w:rFonts w:ascii="Times New Roman" w:hAnsi="Times New Roman" w:eastAsia="Times New Roman" w:cs="Times New Roman"/>
    </w:rPr>
  </w:style>
  <w:style w:type="character" w:styleId="WW8Num1z4" w:customStyle="1">
    <w:name w:val="WW8Num1z4"/>
    <w:qFormat/>
    <w:rPr>
      <w:rFonts w:ascii="Times New Roman" w:hAnsi="Times New Roman" w:eastAsia="Times New Roman" w:cs="Times New Roman"/>
    </w:rPr>
  </w:style>
  <w:style w:type="character" w:styleId="WW8Num1z5" w:customStyle="1">
    <w:name w:val="WW8Num1z5"/>
    <w:qFormat/>
    <w:rPr>
      <w:rFonts w:ascii="Times New Roman" w:hAnsi="Times New Roman" w:eastAsia="Times New Roman" w:cs="Times New Roman"/>
    </w:rPr>
  </w:style>
  <w:style w:type="character" w:styleId="WW8Num1z6" w:customStyle="1">
    <w:name w:val="WW8Num1z6"/>
    <w:qFormat/>
    <w:rPr>
      <w:rFonts w:ascii="Times New Roman" w:hAnsi="Times New Roman" w:eastAsia="Times New Roman" w:cs="Times New Roman"/>
    </w:rPr>
  </w:style>
  <w:style w:type="character" w:styleId="WW8Num1z7" w:customStyle="1">
    <w:name w:val="WW8Num1z7"/>
    <w:qFormat/>
    <w:rPr>
      <w:rFonts w:ascii="Times New Roman" w:hAnsi="Times New Roman" w:eastAsia="Times New Roman" w:cs="Times New Roman"/>
    </w:rPr>
  </w:style>
  <w:style w:type="character" w:styleId="WW8Num1z8" w:customStyle="1">
    <w:name w:val="WW8Num1z8"/>
    <w:qFormat/>
    <w:rPr>
      <w:rFonts w:ascii="Times New Roman" w:hAnsi="Times New Roman" w:eastAsia="Times New Roman" w:cs="Times New Roman"/>
    </w:rPr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Pr>
      <w:rFonts w:ascii="Times New Roman" w:hAnsi="Times New Roman" w:eastAsia="Times New Roman" w:cs="Times New Roman"/>
    </w:rPr>
  </w:style>
  <w:style w:type="character" w:styleId="WW8Num2z2" w:customStyle="1">
    <w:name w:val="WW8Num2z2"/>
    <w:qFormat/>
    <w:rPr>
      <w:rFonts w:ascii="Times New Roman" w:hAnsi="Times New Roman" w:eastAsia="Times New Roman" w:cs="Times New Roman"/>
    </w:rPr>
  </w:style>
  <w:style w:type="character" w:styleId="WW8Num2z3" w:customStyle="1">
    <w:name w:val="WW8Num2z3"/>
    <w:qFormat/>
    <w:rPr>
      <w:rFonts w:ascii="Times New Roman" w:hAnsi="Times New Roman" w:eastAsia="Times New Roman" w:cs="Times New Roman"/>
    </w:rPr>
  </w:style>
  <w:style w:type="character" w:styleId="WW8Num2z4" w:customStyle="1">
    <w:name w:val="WW8Num2z4"/>
    <w:qFormat/>
    <w:rPr>
      <w:rFonts w:ascii="Times New Roman" w:hAnsi="Times New Roman" w:eastAsia="Times New Roman" w:cs="Times New Roman"/>
    </w:rPr>
  </w:style>
  <w:style w:type="character" w:styleId="WW8Num2z5" w:customStyle="1">
    <w:name w:val="WW8Num2z5"/>
    <w:qFormat/>
    <w:rPr>
      <w:rFonts w:ascii="Times New Roman" w:hAnsi="Times New Roman" w:eastAsia="Times New Roman" w:cs="Times New Roman"/>
    </w:rPr>
  </w:style>
  <w:style w:type="character" w:styleId="WW8Num2z6" w:customStyle="1">
    <w:name w:val="WW8Num2z6"/>
    <w:qFormat/>
    <w:rPr>
      <w:rFonts w:ascii="Times New Roman" w:hAnsi="Times New Roman" w:eastAsia="Times New Roman" w:cs="Times New Roman"/>
    </w:rPr>
  </w:style>
  <w:style w:type="character" w:styleId="WW8Num2z7" w:customStyle="1">
    <w:name w:val="WW8Num2z7"/>
    <w:qFormat/>
    <w:rPr>
      <w:rFonts w:ascii="Times New Roman" w:hAnsi="Times New Roman" w:eastAsia="Times New Roman" w:cs="Times New Roman"/>
    </w:rPr>
  </w:style>
  <w:style w:type="character" w:styleId="WW8Num2z8" w:customStyle="1">
    <w:name w:val="WW8Num2z8"/>
    <w:qFormat/>
    <w:rPr>
      <w:rFonts w:ascii="Times New Roman" w:hAnsi="Times New Roman" w:eastAsia="Times New Roman" w:cs="Times New Roman"/>
    </w:rPr>
  </w:style>
  <w:style w:type="character" w:styleId="Fontepargpadro6" w:customStyle="1">
    <w:name w:val="Fonte parág. padrão6"/>
    <w:qFormat/>
    <w:rPr>
      <w:rFonts w:ascii="Times New Roman" w:hAnsi="Times New Roman" w:eastAsia="Times New Roman" w:cs="Times New Roman"/>
    </w:rPr>
  </w:style>
  <w:style w:type="character" w:styleId="AbsatzStandardschriftart" w:customStyle="1">
    <w:name w:val="Absatz-Standardschriftart"/>
    <w:qFormat/>
    <w:rPr>
      <w:rFonts w:ascii="Times New Roman" w:hAnsi="Times New Roman" w:eastAsia="Times New Roman" w:cs="Times New Roman"/>
    </w:rPr>
  </w:style>
  <w:style w:type="character" w:styleId="WWAbsatzStandardschriftart" w:customStyle="1">
    <w:name w:val="WW-Absatz-Standardschriftart"/>
    <w:qFormat/>
    <w:rPr>
      <w:rFonts w:ascii="Times New Roman" w:hAnsi="Times New Roman" w:eastAsia="Times New Roman" w:cs="Times New Roman"/>
    </w:rPr>
  </w:style>
  <w:style w:type="character" w:styleId="WWAbsatzStandardschriftart1" w:customStyle="1">
    <w:name w:val="WW-Absatz-Standardschriftart1"/>
    <w:qFormat/>
    <w:rPr>
      <w:rFonts w:ascii="Times New Roman" w:hAnsi="Times New Roman" w:eastAsia="Times New Roman" w:cs="Times New Roman"/>
    </w:rPr>
  </w:style>
  <w:style w:type="character" w:styleId="Fontepargpadro5" w:customStyle="1">
    <w:name w:val="Fonte parág. padrão5"/>
    <w:qFormat/>
    <w:rPr>
      <w:rFonts w:ascii="Times New Roman" w:hAnsi="Times New Roman" w:eastAsia="Times New Roman" w:cs="Times New Roman"/>
    </w:rPr>
  </w:style>
  <w:style w:type="character" w:styleId="Fontepargpadro4" w:customStyle="1">
    <w:name w:val="Fonte parág. padrão4"/>
    <w:qFormat/>
    <w:rPr>
      <w:rFonts w:ascii="Times New Roman" w:hAnsi="Times New Roman" w:eastAsia="Times New Roman" w:cs="Times New Roman"/>
    </w:rPr>
  </w:style>
  <w:style w:type="character" w:styleId="Fontepargpadro3" w:customStyle="1">
    <w:name w:val="Fonte parág. padrão3"/>
    <w:qFormat/>
    <w:rPr>
      <w:rFonts w:ascii="Times New Roman" w:hAnsi="Times New Roman" w:eastAsia="Times New Roman" w:cs="Times New Roman"/>
    </w:rPr>
  </w:style>
  <w:style w:type="character" w:styleId="Fontepargpadro2" w:customStyle="1">
    <w:name w:val="Fonte parág. padrão2"/>
    <w:qFormat/>
    <w:rPr>
      <w:rFonts w:ascii="Times New Roman" w:hAnsi="Times New Roman" w:eastAsia="Times New Roman" w:cs="Times New Roman"/>
    </w:rPr>
  </w:style>
  <w:style w:type="character" w:styleId="WW8Num5z0" w:customStyle="1">
    <w:name w:val="WW8Num5z0"/>
    <w:qFormat/>
    <w:rPr>
      <w:rFonts w:ascii="Times New Roman" w:hAnsi="Times New Roman" w:eastAsia="Times New Roman" w:cs="Times New Roman"/>
      <w:b/>
    </w:rPr>
  </w:style>
  <w:style w:type="character" w:styleId="WW8Num6z0" w:customStyle="1">
    <w:name w:val="WW8Num6z0"/>
    <w:qFormat/>
    <w:rPr>
      <w:rFonts w:ascii="Arial" w:hAnsi="Arial" w:eastAsia="Times New Roman" w:cs="Arial"/>
      <w:b/>
    </w:rPr>
  </w:style>
  <w:style w:type="character" w:styleId="Fontepargpadro1" w:customStyle="1">
    <w:name w:val="Fonte parág. padrão1"/>
    <w:qFormat/>
    <w:rPr>
      <w:rFonts w:ascii="Times New Roman" w:hAnsi="Times New Roman" w:eastAsia="Times New Roman" w:cs="Times New Roman"/>
    </w:rPr>
  </w:style>
  <w:style w:type="character" w:styleId="Refdecomentrio1" w:customStyle="1">
    <w:name w:val="Ref. de comentário1"/>
    <w:qFormat/>
    <w:rPr>
      <w:rFonts w:ascii="Times New Roman" w:hAnsi="Times New Roman" w:eastAsia="Times New Roman" w:cs="Times New Roman"/>
      <w:sz w:val="16"/>
    </w:rPr>
  </w:style>
  <w:style w:type="character" w:styleId="Smbolosdenumerao" w:customStyle="1">
    <w:name w:val="Símbolos de numeração"/>
    <w:qFormat/>
    <w:rPr>
      <w:rFonts w:ascii="Times New Roman" w:hAnsi="Times New Roman" w:eastAsia="Times New Roman" w:cs="Times New Roman"/>
    </w:rPr>
  </w:style>
  <w:style w:type="character" w:styleId="Badgebadgeimportant" w:customStyle="1">
    <w:name w:val="badge badge-important"/>
    <w:qFormat/>
    <w:rPr>
      <w:rFonts w:ascii="Times New Roman" w:hAnsi="Times New Roman" w:eastAsia="Times New Roman" w:cs="Times New Roman"/>
    </w:rPr>
  </w:style>
  <w:style w:type="character" w:styleId="Appleconvertedspace" w:customStyle="1">
    <w:name w:val="apple-converted-space"/>
    <w:qFormat/>
    <w:rPr>
      <w:rFonts w:ascii="Times New Roman" w:hAnsi="Times New Roman" w:eastAsia="Times New Roman" w:cs="Times New Roman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  <w:b/>
    </w:rPr>
  </w:style>
  <w:style w:type="character" w:styleId="Nfase">
    <w:name w:val="Ênfase"/>
    <w:qFormat/>
    <w:rPr>
      <w:rFonts w:ascii="Times New Roman" w:hAnsi="Times New Roman" w:eastAsia="Times New Roman" w:cs="Times New Roman"/>
      <w:i/>
      <w:iCs/>
    </w:rPr>
  </w:style>
  <w:style w:type="character" w:styleId="Ttulo3Char" w:customStyle="1">
    <w:name w:val="Título 3 Char"/>
    <w:qFormat/>
    <w:rPr>
      <w:rFonts w:ascii="Calibri Light" w:hAnsi="Calibri Light" w:eastAsia="Times New Roman" w:cs="Times New Roman"/>
      <w:b/>
      <w:bCs/>
      <w:kern w:val="2"/>
      <w:sz w:val="26"/>
      <w:szCs w:val="26"/>
      <w:lang w:eastAsia="zh-CN"/>
    </w:rPr>
  </w:style>
  <w:style w:type="character" w:styleId="CabealhoChar" w:customStyle="1">
    <w:name w:val="Cabeçalho Char"/>
    <w:qFormat/>
    <w:rPr>
      <w:rFonts w:ascii="Arial" w:hAnsi="Arial" w:eastAsia="Times New Roman" w:cs="Arial"/>
      <w:kern w:val="2"/>
      <w:sz w:val="24"/>
      <w:lang w:eastAsia="zh-CN"/>
    </w:rPr>
  </w:style>
  <w:style w:type="character" w:styleId="Strong">
    <w:name w:val="Strong"/>
    <w:qFormat/>
    <w:rPr>
      <w:rFonts w:ascii="Times New Roman" w:hAnsi="Times New Roman" w:eastAsia="Times New Roman" w:cs="Times New Roman"/>
      <w:b/>
      <w:bCs/>
    </w:rPr>
  </w:style>
  <w:style w:type="character" w:styleId="Ttulo2Char" w:customStyle="1">
    <w:name w:val="Título 2 Char"/>
    <w:qFormat/>
    <w:rPr>
      <w:rFonts w:ascii="Calibri Light" w:hAnsi="Calibri Light" w:eastAsia="Times New Roman" w:cs="Times New Roman"/>
      <w:b/>
      <w:bCs/>
      <w:i/>
      <w:iCs/>
      <w:kern w:val="2"/>
      <w:sz w:val="28"/>
      <w:szCs w:val="28"/>
      <w:lang w:eastAsia="zh-CN"/>
    </w:rPr>
  </w:style>
  <w:style w:type="character" w:styleId="Bodytext4" w:customStyle="1">
    <w:name w:val="Body text (4)_"/>
    <w:qFormat/>
    <w:rPr>
      <w:rFonts w:ascii="Arial" w:hAnsi="Arial" w:eastAsia="Arial" w:cs="Arial"/>
      <w:b/>
      <w:bCs/>
      <w:i/>
      <w:iCs/>
      <w:caps w:val="false"/>
      <w:smallCaps w:val="false"/>
      <w:u w:val="none"/>
    </w:rPr>
  </w:style>
  <w:style w:type="character" w:styleId="Bodytext41" w:customStyle="1">
    <w:name w:val="Body text (4)"/>
    <w:qFormat/>
    <w:rPr>
      <w:rFonts w:ascii="Arial" w:hAnsi="Arial" w:eastAsia="Arial" w:cs="Arial"/>
      <w:b/>
      <w:bCs/>
      <w:i/>
      <w:iCs/>
      <w:caps w:val="false"/>
      <w:smallCaps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t-PT" w:bidi="pt-PT"/>
    </w:rPr>
  </w:style>
  <w:style w:type="character" w:styleId="Bodytext5" w:customStyle="1">
    <w:name w:val="Body text (5)_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u w:val="none"/>
    </w:rPr>
  </w:style>
  <w:style w:type="character" w:styleId="Bodytext5105ptBold" w:customStyle="1">
    <w:name w:val="Body text (5) + 10.5 pt;Bold"/>
    <w:qFormat/>
    <w:rPr>
      <w:rFonts w:ascii="Arial" w:hAnsi="Arial" w:eastAsia="Arial" w:cs="Arial"/>
      <w:b/>
      <w:bCs/>
      <w:i w:val="false"/>
      <w:iCs w:val="false"/>
      <w:caps w:val="false"/>
      <w:smallCaps w:val="false"/>
      <w:color w:val="000000"/>
      <w:spacing w:val="0"/>
      <w:w w:val="100"/>
      <w:position w:val="0"/>
      <w:sz w:val="21"/>
      <w:sz w:val="21"/>
      <w:szCs w:val="21"/>
      <w:u w:val="none"/>
      <w:vertAlign w:val="baseline"/>
      <w:lang w:val="pt-PT" w:bidi="pt-PT"/>
    </w:rPr>
  </w:style>
  <w:style w:type="character" w:styleId="Bodytext51" w:customStyle="1">
    <w:name w:val="Body text (5)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t-PT" w:bidi="pt-PT"/>
    </w:rPr>
  </w:style>
  <w:style w:type="character" w:styleId="Bodytext3Exact" w:customStyle="1">
    <w:name w:val="Body text (3) Exact"/>
    <w:qFormat/>
    <w:rPr>
      <w:rFonts w:ascii="Times New Roman" w:hAnsi="Times New Roman" w:eastAsia="Times New Roman" w:cs="Times New Roman"/>
    </w:rPr>
  </w:style>
  <w:style w:type="character" w:styleId="Heading2Exact" w:customStyle="1">
    <w:name w:val="Heading #2 Exact"/>
    <w:qFormat/>
    <w:rPr>
      <w:rFonts w:ascii="Arial" w:hAnsi="Arial" w:eastAsia="Arial" w:cs="Arial"/>
      <w:b/>
      <w:bCs/>
      <w:sz w:val="26"/>
      <w:szCs w:val="26"/>
      <w:shd w:fill="FFFFFF" w:val="clear"/>
    </w:rPr>
  </w:style>
  <w:style w:type="character" w:styleId="Bodytext3" w:customStyle="1">
    <w:name w:val="Body text (3)_"/>
    <w:qFormat/>
    <w:rPr>
      <w:rFonts w:ascii="Arial" w:hAnsi="Arial" w:eastAsia="Arial" w:cs="Arial"/>
      <w:b/>
      <w:bCs/>
      <w:sz w:val="21"/>
      <w:szCs w:val="21"/>
      <w:shd w:fill="FFFFFF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>
      <w:rFonts w:ascii="Times New Roman" w:hAnsi="Times New Roman" w:cs="Times New Roman"/>
    </w:rPr>
  </w:style>
  <w:style w:type="paragraph" w:styleId="Lista">
    <w:name w:val="List"/>
    <w:basedOn w:val="Normal"/>
    <w:pPr>
      <w:ind w:left="283" w:hanging="283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>
      <w:rFonts w:ascii="Times New Roman" w:hAnsi="Times New Roman" w:cs="Times New Roman"/>
    </w:rPr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>
      <w:rFonts w:ascii="Times New Roman" w:hAnsi="Times New Roman" w:cs="Times New Roman"/>
    </w:rPr>
  </w:style>
  <w:style w:type="paragraph" w:styleId="Ttulo71" w:customStyle="1">
    <w:name w:val="Título7"/>
    <w:basedOn w:val="Normal"/>
    <w:next w:val="Corpodotexto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Ttulo6" w:customStyle="1">
    <w:name w:val="Título6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5" w:customStyle="1">
    <w:name w:val="Título5"/>
    <w:basedOn w:val="Normal"/>
    <w:next w:val="Corpodotexto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Ttulo41" w:customStyle="1">
    <w:name w:val="Título4"/>
    <w:basedOn w:val="Normal"/>
    <w:next w:val="Corpodotexto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Ttulo11" w:customStyle="1">
    <w:name w:val="Título1"/>
    <w:basedOn w:val="Normal"/>
    <w:next w:val="Corpodotexto"/>
    <w:qFormat/>
    <w:pPr>
      <w:jc w:val="center"/>
    </w:pPr>
    <w:rPr>
      <w:rFonts w:ascii="Times New Roman" w:hAnsi="Times New Roman" w:cs="Times New Roman"/>
      <w:b/>
      <w:sz w:val="28"/>
    </w:rPr>
  </w:style>
  <w:style w:type="paragraph" w:styleId="Corpodotextorecuado">
    <w:name w:val="Body Text Indent"/>
    <w:basedOn w:val="Normal"/>
    <w:pPr>
      <w:ind w:left="1260" w:firstLine="360"/>
      <w:jc w:val="both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rpodetexto32" w:customStyle="1">
    <w:name w:val="Corpo de texto 32"/>
    <w:basedOn w:val="Normal"/>
    <w:qFormat/>
    <w:pPr>
      <w:spacing w:before="0" w:after="120"/>
    </w:pPr>
    <w:rPr>
      <w:rFonts w:ascii="Times New Roman" w:hAnsi="Times New Roman" w:cs="Times New Roman"/>
      <w:sz w:val="16"/>
      <w:szCs w:val="16"/>
    </w:rPr>
  </w:style>
  <w:style w:type="paragraph" w:styleId="WWPadro" w:customStyle="1">
    <w:name w:val="WW-Padrão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4"/>
      <w:lang w:eastAsia="zh-CN" w:val="pt-BR" w:bidi="ar-SA"/>
    </w:rPr>
  </w:style>
  <w:style w:type="paragraph" w:styleId="Corpodetexto21" w:customStyle="1">
    <w:name w:val="Corpo de texto 21"/>
    <w:basedOn w:val="Normal"/>
    <w:qFormat/>
    <w:pPr>
      <w:spacing w:lineRule="auto" w:line="480" w:before="0" w:after="120"/>
    </w:pPr>
    <w:rPr>
      <w:rFonts w:ascii="Times New Roman" w:hAnsi="Times New Roman" w:cs="Times New Roman"/>
    </w:rPr>
  </w:style>
  <w:style w:type="paragraph" w:styleId="Recuodecorpodetexto21" w:customStyle="1">
    <w:name w:val="Recuo de corpo de texto 21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</w:rPr>
  </w:style>
  <w:style w:type="paragraph" w:styleId="Textodecomentrio1" w:customStyle="1">
    <w:name w:val="Texto de comentário1"/>
    <w:basedOn w:val="Normal"/>
    <w:qFormat/>
    <w:pPr/>
    <w:rPr>
      <w:rFonts w:ascii="Times New Roman" w:hAnsi="Times New Roman" w:cs="Times New Roman"/>
      <w:sz w:val="20"/>
    </w:rPr>
  </w:style>
  <w:style w:type="paragraph" w:styleId="Estruturadodocumento1" w:customStyle="1">
    <w:name w:val="Estrutura do documento1"/>
    <w:basedOn w:val="Normal"/>
    <w:qFormat/>
    <w:pPr>
      <w:shd w:val="clear" w:color="auto" w:fill="000080"/>
    </w:pPr>
    <w:rPr>
      <w:rFonts w:ascii="Tahoma" w:hAnsi="Tahoma" w:cs="Tahoma"/>
      <w:sz w:val="20"/>
    </w:rPr>
  </w:style>
  <w:style w:type="paragraph" w:styleId="Corpodetexto31" w:customStyle="1">
    <w:name w:val="Corpo de texto 31"/>
    <w:basedOn w:val="Normal"/>
    <w:qFormat/>
    <w:pPr>
      <w:spacing w:lineRule="auto" w:line="360"/>
      <w:jc w:val="both"/>
    </w:pPr>
    <w:rPr>
      <w:rFonts w:ascii="Times New Roman" w:hAnsi="Times New Roman" w:cs="Times New Roman"/>
      <w:bCs/>
      <w:color w:val="000000"/>
    </w:rPr>
  </w:style>
  <w:style w:type="paragraph" w:styleId="WWPadro1" w:customStyle="1">
    <w:name w:val="WW-Padrão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4"/>
      <w:lang w:eastAsia="zh-CN" w:val="pt-BR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color w:val="000000"/>
      <w:sz w:val="22"/>
      <w:lang w:val="es-AR"/>
    </w:rPr>
  </w:style>
  <w:style w:type="paragraph" w:styleId="NormalWeb">
    <w:name w:val="Normal (Web)"/>
    <w:basedOn w:val="Normal"/>
    <w:qFormat/>
    <w:pPr>
      <w:suppressAutoHyphens w:val="false"/>
    </w:pPr>
    <w:rPr>
      <w:rFonts w:ascii="Times New Roman" w:hAnsi="Times New Roman" w:cs="Times New Roman"/>
      <w:szCs w:val="24"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eastAsia="zh-CN" w:val="pt-BR" w:bidi="ar-SA"/>
    </w:rPr>
  </w:style>
  <w:style w:type="paragraph" w:styleId="Bodytext31" w:customStyle="1">
    <w:name w:val="Body text (3)"/>
    <w:basedOn w:val="Normal"/>
    <w:qFormat/>
    <w:pPr>
      <w:widowControl w:val="false"/>
      <w:shd w:val="clear" w:color="auto" w:fill="FFFFFF"/>
      <w:suppressAutoHyphens w:val="false"/>
      <w:spacing w:lineRule="atLeast" w:line="0" w:before="0" w:after="60"/>
    </w:pPr>
    <w:rPr>
      <w:rFonts w:ascii="Times New Roman" w:hAnsi="Times New Roman" w:eastAsia="Arial" w:cs="Times New Roman"/>
      <w:b/>
      <w:bCs/>
      <w:sz w:val="21"/>
      <w:szCs w:val="21"/>
    </w:rPr>
  </w:style>
  <w:style w:type="paragraph" w:styleId="Heading2" w:customStyle="1">
    <w:name w:val="Heading #2"/>
    <w:basedOn w:val="Normal"/>
    <w:qFormat/>
    <w:pPr>
      <w:widowControl w:val="false"/>
      <w:shd w:val="clear" w:color="auto" w:fill="FFFFFF"/>
      <w:suppressAutoHyphens w:val="false"/>
      <w:spacing w:lineRule="atLeast" w:line="0" w:before="60" w:after="0"/>
    </w:pPr>
    <w:rPr>
      <w:rFonts w:ascii="Times New Roman" w:hAnsi="Times New Roman" w:eastAsia="Arial" w:cs="Times New Roman"/>
      <w:b/>
      <w:bCs/>
      <w:sz w:val="26"/>
      <w:szCs w:val="26"/>
    </w:rPr>
  </w:style>
  <w:style w:type="paragraph" w:styleId="Corpodetexto22" w:customStyle="1">
    <w:name w:val="Corpo de texto 22"/>
    <w:basedOn w:val="Normal"/>
    <w:qFormat/>
    <w:pPr>
      <w:suppressAutoHyphens w:val="false"/>
      <w:overflowPunct w:val="true"/>
      <w:ind w:left="2832" w:firstLine="3"/>
      <w:jc w:val="both"/>
      <w:textAlignment w:val="baseline"/>
    </w:pPr>
    <w:rPr>
      <w:rFonts w:ascii="Times New Roman" w:hAnsi="Times New Roman" w:cs="Times New Roman"/>
      <w:b/>
    </w:rPr>
  </w:style>
  <w:style w:type="paragraph" w:styleId="Recuodecorpodetexto22" w:customStyle="1">
    <w:name w:val="Recuo de corpo de texto 22"/>
    <w:basedOn w:val="Normal"/>
    <w:qFormat/>
    <w:pPr>
      <w:suppressAutoHyphens w:val="false"/>
      <w:overflowPunct w:val="true"/>
      <w:ind w:left="851" w:hanging="851"/>
      <w:jc w:val="both"/>
      <w:textAlignment w:val="baseline"/>
    </w:pPr>
    <w:rPr>
      <w:rFonts w:ascii="Times New Roman" w:hAnsi="Times New Roman" w:cs="Times New Roman"/>
    </w:rPr>
  </w:style>
  <w:style w:type="paragraph" w:styleId="Recuodecorpodetexto32" w:customStyle="1">
    <w:name w:val="Recuo de corpo de texto 32"/>
    <w:basedOn w:val="Normal"/>
    <w:qFormat/>
    <w:pPr>
      <w:ind w:firstLine="708"/>
      <w:jc w:val="both"/>
    </w:pPr>
    <w:rPr>
      <w:rFonts w:ascii="Times New Roman" w:hAnsi="Times New Roman" w:cs="Times New Roman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Corpodetexto23" w:customStyle="1">
    <w:name w:val="Corpo de texto 23"/>
    <w:basedOn w:val="Normal"/>
    <w:qFormat/>
    <w:rsid w:val="00686672"/>
    <w:pPr>
      <w:overflowPunct w:val="true"/>
      <w:ind w:left="1418" w:hanging="1418"/>
      <w:jc w:val="both"/>
    </w:pPr>
    <w:rPr>
      <w:rFonts w:ascii="Century Schoolbook" w:hAnsi="Century Schoolbook" w:cs="Century Schoolbook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LibreOffice/7.0.6.2$Windows_X86_64 LibreOffice_project/144abb84a525d8e30c9dbbefa69cbbf2d8d4ae3b</Application>
  <AppVersion>15.0000</AppVersion>
  <Pages>5</Pages>
  <Words>2776</Words>
  <Characters>15304</Characters>
  <CharactersWithSpaces>18045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2021-07-15T13:44:00Z</dcterms:created>
  <dc:creator>PGM</dc:creator>
  <dc:description/>
  <dc:language>pt-BR</dc:language>
  <cp:lastModifiedBy>user</cp:lastModifiedBy>
  <cp:lastPrinted>2022-07-12T11:14:33Z</cp:lastPrinted>
  <dcterms:modified xsi:type="dcterms:W3CDTF">2021-07-15T13:44:00Z</dcterms:modified>
  <cp:revision>2</cp:revision>
  <dc:subject/>
  <dc:title>DECRETO No 148, DE 22 DE JULHO DE 2009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